
<file path=[Content_Types].xml><?xml version="1.0" encoding="utf-8"?>
<Types xmlns="http://schemas.openxmlformats.org/package/2006/content-types">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F75A3">
      <w:pPr>
        <w:jc w:val="center"/>
        <w:rPr>
          <w:rFonts w:hint="eastAsia"/>
          <w:sz w:val="32"/>
          <w:szCs w:val="32"/>
        </w:rPr>
      </w:pPr>
    </w:p>
    <w:p w14:paraId="3B0B4CE3">
      <w:pPr>
        <w:jc w:val="center"/>
        <w:rPr>
          <w:rFonts w:hint="eastAsia"/>
          <w:sz w:val="32"/>
          <w:szCs w:val="32"/>
        </w:rPr>
      </w:pPr>
    </w:p>
    <w:p w14:paraId="2F9754A5">
      <w:pPr>
        <w:jc w:val="center"/>
        <w:rPr>
          <w:rFonts w:hint="eastAsia"/>
          <w:sz w:val="32"/>
          <w:szCs w:val="32"/>
        </w:rPr>
      </w:pPr>
    </w:p>
    <w:p w14:paraId="5CCB0ECC">
      <w:pPr>
        <w:jc w:val="center"/>
        <w:rPr>
          <w:rFonts w:hint="eastAsia"/>
          <w:sz w:val="32"/>
          <w:szCs w:val="32"/>
        </w:rPr>
      </w:pPr>
    </w:p>
    <w:p w14:paraId="464BD131">
      <w:pPr>
        <w:jc w:val="center"/>
        <w:rPr>
          <w:rFonts w:hint="eastAsia" w:ascii="黑体" w:eastAsia="黑体"/>
          <w:sz w:val="32"/>
          <w:szCs w:val="32"/>
        </w:rPr>
      </w:pPr>
      <w:r>
        <w:rPr>
          <w:rFonts w:hint="eastAsia" w:eastAsia="黑体"/>
          <w:sz w:val="44"/>
          <w:szCs w:val="44"/>
        </w:rPr>
        <w:t>基于椭球拟合的矢量磁强计校准规范</w:t>
      </w:r>
    </w:p>
    <w:p w14:paraId="160E9917">
      <w:pPr>
        <w:jc w:val="center"/>
        <w:rPr>
          <w:rFonts w:hint="eastAsia" w:ascii="黑体" w:eastAsia="黑体"/>
          <w:sz w:val="32"/>
          <w:szCs w:val="32"/>
        </w:rPr>
      </w:pPr>
    </w:p>
    <w:p w14:paraId="40072DB3">
      <w:pPr>
        <w:jc w:val="center"/>
        <w:rPr>
          <w:rFonts w:hint="eastAsia" w:ascii="黑体" w:eastAsia="黑体"/>
          <w:sz w:val="44"/>
          <w:szCs w:val="44"/>
        </w:rPr>
      </w:pPr>
      <w:r>
        <w:rPr>
          <w:rFonts w:hint="eastAsia" w:ascii="黑体" w:eastAsia="黑体"/>
          <w:sz w:val="44"/>
          <w:szCs w:val="44"/>
        </w:rPr>
        <w:t>试验报告</w:t>
      </w:r>
    </w:p>
    <w:p w14:paraId="16922027">
      <w:pPr>
        <w:jc w:val="center"/>
        <w:rPr>
          <w:rFonts w:hint="eastAsia" w:ascii="黑体" w:eastAsia="黑体"/>
          <w:sz w:val="44"/>
          <w:szCs w:val="44"/>
        </w:rPr>
      </w:pPr>
    </w:p>
    <w:p w14:paraId="44AAF08D">
      <w:pPr>
        <w:jc w:val="center"/>
        <w:rPr>
          <w:rFonts w:hint="eastAsia" w:ascii="黑体" w:eastAsia="黑体"/>
          <w:sz w:val="44"/>
          <w:szCs w:val="44"/>
        </w:rPr>
      </w:pPr>
    </w:p>
    <w:p w14:paraId="1B3B31BF">
      <w:pPr>
        <w:jc w:val="center"/>
        <w:rPr>
          <w:rFonts w:hint="eastAsia" w:ascii="黑体" w:eastAsia="黑体"/>
          <w:sz w:val="44"/>
          <w:szCs w:val="44"/>
        </w:rPr>
      </w:pPr>
    </w:p>
    <w:p w14:paraId="6112343B">
      <w:pPr>
        <w:jc w:val="center"/>
        <w:rPr>
          <w:rFonts w:hint="eastAsia" w:ascii="黑体" w:eastAsia="黑体"/>
          <w:sz w:val="44"/>
          <w:szCs w:val="44"/>
        </w:rPr>
      </w:pPr>
    </w:p>
    <w:p w14:paraId="5E5B0444">
      <w:pPr>
        <w:jc w:val="center"/>
        <w:rPr>
          <w:rFonts w:hint="eastAsia" w:ascii="黑体" w:eastAsia="黑体"/>
          <w:sz w:val="44"/>
          <w:szCs w:val="44"/>
        </w:rPr>
      </w:pPr>
    </w:p>
    <w:p w14:paraId="39BD29AC">
      <w:pPr>
        <w:jc w:val="center"/>
        <w:rPr>
          <w:rFonts w:hint="eastAsia" w:ascii="宋体" w:hAnsi="宋体"/>
          <w:sz w:val="28"/>
          <w:szCs w:val="28"/>
        </w:rPr>
      </w:pPr>
    </w:p>
    <w:p w14:paraId="3AEF3461">
      <w:pPr>
        <w:jc w:val="center"/>
        <w:rPr>
          <w:rFonts w:hint="eastAsia" w:ascii="宋体" w:hAnsi="宋体"/>
          <w:sz w:val="28"/>
          <w:szCs w:val="28"/>
        </w:rPr>
      </w:pPr>
    </w:p>
    <w:p w14:paraId="4B4F22E9">
      <w:pPr>
        <w:jc w:val="center"/>
        <w:rPr>
          <w:rFonts w:hint="eastAsia" w:ascii="宋体" w:hAnsi="宋体"/>
          <w:sz w:val="28"/>
          <w:szCs w:val="28"/>
        </w:rPr>
      </w:pPr>
    </w:p>
    <w:p w14:paraId="03BB3614">
      <w:pPr>
        <w:jc w:val="center"/>
        <w:rPr>
          <w:rFonts w:hint="eastAsia" w:ascii="宋体" w:hAnsi="宋体"/>
          <w:sz w:val="28"/>
          <w:szCs w:val="28"/>
        </w:rPr>
      </w:pPr>
    </w:p>
    <w:p w14:paraId="069EAA5A">
      <w:pPr>
        <w:jc w:val="center"/>
        <w:rPr>
          <w:rFonts w:hint="eastAsia" w:ascii="宋体" w:hAnsi="宋体"/>
          <w:sz w:val="28"/>
          <w:szCs w:val="28"/>
        </w:rPr>
      </w:pPr>
    </w:p>
    <w:p w14:paraId="5B69F238">
      <w:pPr>
        <w:jc w:val="center"/>
        <w:rPr>
          <w:rFonts w:hint="eastAsia" w:ascii="宋体" w:hAnsi="宋体"/>
          <w:sz w:val="28"/>
          <w:szCs w:val="28"/>
        </w:rPr>
      </w:pPr>
    </w:p>
    <w:p w14:paraId="51E5ABFE">
      <w:pPr>
        <w:spacing w:line="360" w:lineRule="auto"/>
        <w:ind w:right="105"/>
        <w:jc w:val="center"/>
        <w:rPr>
          <w:rFonts w:ascii="黑体" w:eastAsia="黑体"/>
          <w:sz w:val="28"/>
          <w:szCs w:val="28"/>
        </w:rPr>
      </w:pPr>
      <w:r>
        <w:rPr>
          <w:rFonts w:hint="eastAsia" w:ascii="黑体" w:eastAsia="黑体"/>
          <w:sz w:val="28"/>
          <w:szCs w:val="28"/>
        </w:rPr>
        <w:t>中国计量科学研究院</w:t>
      </w:r>
    </w:p>
    <w:p w14:paraId="62251987">
      <w:pPr>
        <w:jc w:val="center"/>
        <w:rPr>
          <w:rFonts w:ascii="黑体" w:hAnsi="宋体" w:eastAsia="黑体"/>
          <w:sz w:val="28"/>
          <w:szCs w:val="28"/>
        </w:rPr>
      </w:pPr>
      <w:r>
        <w:rPr>
          <w:rFonts w:hint="eastAsia" w:ascii="黑体" w:hAnsi="宋体" w:eastAsia="黑体"/>
          <w:sz w:val="28"/>
          <w:szCs w:val="28"/>
        </w:rPr>
        <w:t>二○二六年五月</w:t>
      </w:r>
    </w:p>
    <w:p w14:paraId="4790606D">
      <w:pPr>
        <w:jc w:val="center"/>
        <w:rPr>
          <w:rFonts w:ascii="黑体" w:hAnsi="宋体" w:eastAsia="黑体"/>
          <w:sz w:val="28"/>
          <w:szCs w:val="28"/>
        </w:rPr>
      </w:pPr>
    </w:p>
    <w:p w14:paraId="5F44E468">
      <w:pPr>
        <w:jc w:val="center"/>
        <w:rPr>
          <w:rFonts w:hint="eastAsia" w:ascii="黑体" w:hAnsi="宋体" w:eastAsia="黑体"/>
          <w:sz w:val="21"/>
          <w:szCs w:val="21"/>
        </w:rPr>
      </w:pPr>
    </w:p>
    <w:p w14:paraId="17A95DD9">
      <w:pPr>
        <w:jc w:val="center"/>
        <w:rPr>
          <w:rFonts w:hint="eastAsia" w:ascii="黑体" w:eastAsia="黑体"/>
          <w:bCs/>
          <w:sz w:val="32"/>
          <w:szCs w:val="32"/>
        </w:rPr>
      </w:pPr>
      <w:r>
        <w:rPr>
          <w:rFonts w:hint="eastAsia" w:ascii="黑体" w:eastAsia="黑体"/>
          <w:bCs/>
          <w:sz w:val="32"/>
          <w:szCs w:val="32"/>
        </w:rPr>
        <w:t>基于椭球拟合的矢量磁强计校准规范试验报告</w:t>
      </w:r>
    </w:p>
    <w:p w14:paraId="6A79DB8D">
      <w:pPr>
        <w:numPr>
          <w:ilvl w:val="0"/>
          <w:numId w:val="3"/>
        </w:numPr>
        <w:spacing w:before="50" w:after="50" w:line="400" w:lineRule="exact"/>
        <w:ind w:left="357" w:hanging="357"/>
        <w:rPr>
          <w:rFonts w:hint="eastAsia" w:ascii="黑体" w:hAnsi="宋体" w:eastAsia="黑体"/>
          <w:sz w:val="21"/>
          <w:szCs w:val="21"/>
        </w:rPr>
      </w:pPr>
      <w:r>
        <w:rPr>
          <w:rFonts w:hint="eastAsia" w:ascii="黑体" w:hAnsi="宋体" w:eastAsia="黑体"/>
          <w:sz w:val="21"/>
          <w:szCs w:val="21"/>
        </w:rPr>
        <w:t>验证目的</w:t>
      </w:r>
    </w:p>
    <w:p w14:paraId="3B56C066">
      <w:pPr>
        <w:spacing w:line="400" w:lineRule="exact"/>
        <w:ind w:firstLine="420" w:firstLineChars="200"/>
        <w:rPr>
          <w:rFonts w:hint="eastAsia" w:eastAsia="黑体"/>
          <w:sz w:val="21"/>
          <w:szCs w:val="21"/>
        </w:rPr>
      </w:pPr>
      <w:r>
        <w:rPr>
          <w:rFonts w:hint="eastAsia" w:ascii="宋体" w:hAnsi="宋体"/>
          <w:sz w:val="21"/>
          <w:szCs w:val="21"/>
        </w:rPr>
        <w:t>通过对《</w:t>
      </w:r>
      <w:r>
        <w:rPr>
          <w:rFonts w:hint="eastAsia" w:ascii="宋体" w:hAnsi="宋体"/>
          <w:bCs/>
          <w:sz w:val="21"/>
          <w:szCs w:val="21"/>
        </w:rPr>
        <w:t>基于椭球拟合的矢量磁强计校准规范</w:t>
      </w:r>
      <w:r>
        <w:rPr>
          <w:rFonts w:hint="eastAsia" w:ascii="宋体" w:hAnsi="宋体"/>
          <w:sz w:val="21"/>
          <w:szCs w:val="21"/>
        </w:rPr>
        <w:t>》中的主要校准项目进行试验，验证校准规范中的校准项目和校准条件是否合理、校准方法是否正确可行</w:t>
      </w:r>
      <w:r>
        <w:rPr>
          <w:rFonts w:hint="eastAsia" w:eastAsia="黑体"/>
          <w:sz w:val="21"/>
          <w:szCs w:val="21"/>
        </w:rPr>
        <w:t>。</w:t>
      </w:r>
    </w:p>
    <w:p w14:paraId="7007DAF2">
      <w:pPr>
        <w:numPr>
          <w:ilvl w:val="0"/>
          <w:numId w:val="3"/>
        </w:numPr>
        <w:spacing w:before="50" w:after="50" w:line="400" w:lineRule="exact"/>
        <w:ind w:left="357" w:hanging="357"/>
        <w:rPr>
          <w:rFonts w:hint="eastAsia" w:ascii="黑体" w:hAnsi="宋体" w:eastAsia="黑体"/>
          <w:sz w:val="21"/>
          <w:szCs w:val="21"/>
        </w:rPr>
      </w:pPr>
      <w:r>
        <w:rPr>
          <w:rFonts w:hint="eastAsia" w:ascii="黑体" w:hAnsi="宋体" w:eastAsia="黑体"/>
          <w:sz w:val="21"/>
          <w:szCs w:val="21"/>
        </w:rPr>
        <w:t>验证用设备</w:t>
      </w:r>
    </w:p>
    <w:p w14:paraId="78507CF4">
      <w:pPr>
        <w:spacing w:line="400" w:lineRule="exact"/>
        <w:ind w:firstLine="420" w:firstLineChars="200"/>
        <w:rPr>
          <w:sz w:val="21"/>
          <w:szCs w:val="21"/>
        </w:rPr>
      </w:pPr>
      <w:r>
        <w:rPr>
          <w:rFonts w:hint="eastAsia" w:hAnsi="宋体"/>
          <w:sz w:val="21"/>
          <w:szCs w:val="21"/>
        </w:rPr>
        <w:t>高精度恒流源，三维亥姆霍兹线圈，无磁转台</w:t>
      </w:r>
      <w:r>
        <w:rPr>
          <w:rFonts w:hAnsi="宋体"/>
          <w:sz w:val="21"/>
          <w:szCs w:val="21"/>
        </w:rPr>
        <w:t>，</w:t>
      </w:r>
      <w:r>
        <w:rPr>
          <w:rFonts w:hint="eastAsia" w:hAnsi="宋体"/>
          <w:sz w:val="21"/>
          <w:szCs w:val="21"/>
        </w:rPr>
        <w:t>球形夹具，质子磁强计CS-03，稳场装置，交变磁强计Mag-13MSL</w:t>
      </w:r>
      <w:r>
        <w:rPr>
          <w:rFonts w:hint="eastAsia"/>
          <w:sz w:val="21"/>
          <w:szCs w:val="21"/>
        </w:rPr>
        <w:t>（被校准对象）。</w:t>
      </w:r>
    </w:p>
    <w:p w14:paraId="3DEB941A">
      <w:pPr>
        <w:numPr>
          <w:ilvl w:val="0"/>
          <w:numId w:val="3"/>
        </w:numPr>
        <w:spacing w:before="50" w:after="50" w:line="400" w:lineRule="exact"/>
        <w:ind w:left="357" w:hanging="357"/>
        <w:rPr>
          <w:rFonts w:hint="eastAsia" w:ascii="黑体" w:hAnsi="宋体" w:eastAsia="黑体"/>
          <w:sz w:val="21"/>
          <w:szCs w:val="21"/>
        </w:rPr>
      </w:pPr>
      <w:r>
        <w:rPr>
          <w:rFonts w:hint="eastAsia" w:ascii="黑体" w:hAnsi="宋体" w:eastAsia="黑体"/>
          <w:sz w:val="21"/>
          <w:szCs w:val="21"/>
        </w:rPr>
        <w:t>环境条件</w:t>
      </w:r>
    </w:p>
    <w:p w14:paraId="7B8B43BE">
      <w:pPr>
        <w:spacing w:line="400" w:lineRule="exact"/>
        <w:ind w:left="420"/>
        <w:rPr>
          <w:rFonts w:ascii="宋体" w:hAnsi="宋体"/>
          <w:sz w:val="21"/>
          <w:szCs w:val="21"/>
        </w:rPr>
      </w:pPr>
      <w:r>
        <w:rPr>
          <w:rFonts w:hint="eastAsia"/>
          <w:sz w:val="21"/>
          <w:szCs w:val="21"/>
        </w:rPr>
        <w:t>环境温度：20</w:t>
      </w:r>
      <w:r>
        <w:rPr>
          <w:sz w:val="21"/>
          <w:szCs w:val="21"/>
        </w:rPr>
        <w:t>℃</w:t>
      </w:r>
      <w:r>
        <w:rPr>
          <w:rFonts w:hint="eastAsia"/>
          <w:sz w:val="21"/>
          <w:szCs w:val="21"/>
        </w:rPr>
        <w:t>；环境相对湿度：</w:t>
      </w:r>
      <w:r>
        <w:rPr>
          <w:sz w:val="21"/>
          <w:szCs w:val="21"/>
        </w:rPr>
        <w:t>≤70%</w:t>
      </w:r>
      <w:r>
        <w:rPr>
          <w:rFonts w:hint="eastAsia"/>
          <w:sz w:val="21"/>
          <w:szCs w:val="21"/>
        </w:rPr>
        <w:t>RH。</w:t>
      </w:r>
    </w:p>
    <w:p w14:paraId="6ED23DA2">
      <w:pPr>
        <w:numPr>
          <w:ilvl w:val="0"/>
          <w:numId w:val="3"/>
        </w:numPr>
        <w:spacing w:before="50" w:after="50" w:line="400" w:lineRule="exact"/>
        <w:ind w:left="357" w:hanging="357"/>
        <w:rPr>
          <w:rFonts w:hint="eastAsia" w:ascii="黑体" w:hAnsi="宋体" w:eastAsia="黑体"/>
          <w:sz w:val="21"/>
          <w:szCs w:val="21"/>
        </w:rPr>
      </w:pPr>
      <w:r>
        <w:rPr>
          <w:rFonts w:hint="eastAsia" w:ascii="黑体" w:hAnsi="宋体" w:eastAsia="黑体"/>
          <w:sz w:val="21"/>
          <w:szCs w:val="21"/>
        </w:rPr>
        <w:t>验证项目</w:t>
      </w:r>
    </w:p>
    <w:p w14:paraId="617DD40F">
      <w:pPr>
        <w:numPr>
          <w:ilvl w:val="0"/>
          <w:numId w:val="4"/>
        </w:numPr>
        <w:spacing w:line="400" w:lineRule="exact"/>
        <w:rPr>
          <w:rFonts w:hint="eastAsia" w:ascii="宋体" w:hAnsi="宋体"/>
          <w:sz w:val="21"/>
          <w:szCs w:val="21"/>
        </w:rPr>
      </w:pPr>
      <w:r>
        <w:rPr>
          <w:rFonts w:hint="eastAsia" w:ascii="宋体" w:hAnsi="宋体"/>
          <w:sz w:val="21"/>
          <w:szCs w:val="21"/>
        </w:rPr>
        <w:t>椭球拟合法拟合实测数据的参数不确定度。</w:t>
      </w:r>
    </w:p>
    <w:p w14:paraId="574EEA01">
      <w:pPr>
        <w:numPr>
          <w:ilvl w:val="0"/>
          <w:numId w:val="3"/>
        </w:numPr>
        <w:spacing w:before="50" w:after="50" w:line="400" w:lineRule="exact"/>
        <w:ind w:left="357" w:hanging="357"/>
        <w:rPr>
          <w:rFonts w:ascii="黑体" w:hAnsi="宋体" w:eastAsia="黑体"/>
          <w:sz w:val="21"/>
          <w:szCs w:val="21"/>
        </w:rPr>
      </w:pPr>
      <w:r>
        <w:rPr>
          <w:rFonts w:hint="eastAsia" w:ascii="黑体" w:hAnsi="宋体" w:eastAsia="黑体"/>
          <w:sz w:val="21"/>
          <w:szCs w:val="21"/>
        </w:rPr>
        <w:t>验证结果</w:t>
      </w:r>
    </w:p>
    <w:p w14:paraId="5C082C1B">
      <w:pPr>
        <w:spacing w:line="400" w:lineRule="exact"/>
        <w:ind w:firstLine="420" w:firstLineChars="200"/>
        <w:rPr>
          <w:sz w:val="21"/>
          <w:szCs w:val="21"/>
        </w:rPr>
      </w:pPr>
      <w:r>
        <w:rPr>
          <w:rFonts w:hint="eastAsia"/>
          <w:sz w:val="21"/>
          <w:szCs w:val="21"/>
        </w:rPr>
        <w:t>基于</w:t>
      </w:r>
      <w:r>
        <w:rPr>
          <w:sz w:val="21"/>
          <w:szCs w:val="21"/>
        </w:rPr>
        <w:t>国家恒定弱磁基准装置</w:t>
      </w:r>
      <w:r>
        <w:rPr>
          <w:rFonts w:hint="eastAsia"/>
          <w:sz w:val="21"/>
          <w:szCs w:val="21"/>
        </w:rPr>
        <w:t>（装置示意图见图1）</w:t>
      </w:r>
      <w:r>
        <w:rPr>
          <w:sz w:val="21"/>
          <w:szCs w:val="21"/>
        </w:rPr>
        <w:t>磁环境</w:t>
      </w:r>
      <w:r>
        <w:rPr>
          <w:rFonts w:hint="eastAsia"/>
          <w:sz w:val="21"/>
          <w:szCs w:val="21"/>
        </w:rPr>
        <w:t>下的不确定度实验：通过高精度恒流源驱动三维线圈产生50000 nT的磁场，利用光泵磁强计和稳场系统使产生的磁场稳定，背景磁场真值根据高精度质子磁力仪多次测量取均值的方法确定为50000.87 nT，其波动峰值&lt;</w:t>
      </w:r>
      <w:r>
        <w:rPr>
          <w:rFonts w:hint="eastAsia"/>
          <w:sz w:val="21"/>
          <w:szCs w:val="21"/>
          <w:lang w:val="en-US" w:eastAsia="zh-CN"/>
        </w:rPr>
        <w:t>0.0</w:t>
      </w:r>
      <w:r>
        <w:rPr>
          <w:rFonts w:hint="eastAsia"/>
          <w:sz w:val="21"/>
          <w:szCs w:val="21"/>
        </w:rPr>
        <w:t>1 nT。接着旋转夹具改变磁通门姿态，在均匀磁场空间中，按预设的姿态采样点位进行数据采集，共计26个点，这些点均匀覆盖了空间球体上，确保获得足够的磁场信息满足椭球拟合校准需求。</w:t>
      </w:r>
    </w:p>
    <w:p w14:paraId="7C6BD0BF">
      <w:pPr>
        <w:ind w:firstLine="400" w:firstLineChars="200"/>
        <w:jc w:val="center"/>
        <w:rPr>
          <w:sz w:val="20"/>
        </w:rPr>
      </w:pPr>
      <w:r>
        <w:rPr>
          <w:sz w:val="20"/>
        </w:rPr>
        <w:drawing>
          <wp:inline distT="0" distB="0" distL="114300" distR="114300">
            <wp:extent cx="2096135" cy="1572895"/>
            <wp:effectExtent l="0" t="0" r="12065" b="190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6"/>
                    <a:stretch>
                      <a:fillRect/>
                    </a:stretch>
                  </pic:blipFill>
                  <pic:spPr>
                    <a:xfrm>
                      <a:off x="0" y="0"/>
                      <a:ext cx="2096135" cy="1572895"/>
                    </a:xfrm>
                    <a:prstGeom prst="rect">
                      <a:avLst/>
                    </a:prstGeom>
                    <a:noFill/>
                    <a:ln>
                      <a:noFill/>
                    </a:ln>
                  </pic:spPr>
                </pic:pic>
              </a:graphicData>
            </a:graphic>
          </wp:inline>
        </w:drawing>
      </w:r>
    </w:p>
    <w:p w14:paraId="62FA18DC">
      <w:pPr>
        <w:pStyle w:val="22"/>
        <w:rPr>
          <w:rFonts w:hint="eastAsia"/>
          <w:sz w:val="21"/>
        </w:rPr>
      </w:pPr>
      <w:r>
        <w:rPr>
          <w:rFonts w:hint="eastAsia"/>
          <w:sz w:val="21"/>
        </w:rPr>
        <w:t xml:space="preserve">图1　 </w:t>
      </w:r>
      <w:r>
        <w:rPr>
          <w:rFonts w:hint="eastAsia"/>
          <w:spacing w:val="-2"/>
          <w:sz w:val="21"/>
        </w:rPr>
        <w:t>弱磁基准装置示意图</w:t>
      </w:r>
    </w:p>
    <w:p w14:paraId="2D3B7D2C">
      <w:pPr>
        <w:keepNext/>
        <w:widowControl/>
        <w:kinsoku w:val="0"/>
        <w:autoSpaceDE w:val="0"/>
        <w:autoSpaceDN w:val="0"/>
        <w:adjustRightInd w:val="0"/>
        <w:snapToGrid w:val="0"/>
        <w:ind w:left="210" w:hanging="210" w:hangingChars="100"/>
        <w:jc w:val="center"/>
        <w:textAlignment w:val="baseline"/>
        <w:rPr>
          <w:rFonts w:ascii="Arial" w:hAnsi="Arial" w:eastAsia="Arial" w:cs="Arial"/>
          <w:snapToGrid w:val="0"/>
          <w:color w:val="000000"/>
          <w:kern w:val="0"/>
          <w:sz w:val="21"/>
          <w:szCs w:val="21"/>
        </w:rPr>
      </w:pPr>
      <w:r>
        <w:rPr>
          <w:rFonts w:eastAsia="Arial"/>
          <w:color w:val="000000"/>
          <w:kern w:val="0"/>
          <w:sz w:val="21"/>
          <w:szCs w:val="21"/>
          <w:lang w:eastAsia="en-US"/>
        </w:rPr>
        <w:drawing>
          <wp:inline distT="0" distB="0" distL="114300" distR="114300">
            <wp:extent cx="2047875" cy="1277620"/>
            <wp:effectExtent l="0" t="0" r="9525" b="5080"/>
            <wp:docPr id="2" name="图片 2" descr="311_lingmindu_wenc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11_lingmindu_wenchang"/>
                    <pic:cNvPicPr>
                      <a:picLocks noChangeAspect="1"/>
                    </pic:cNvPicPr>
                  </pic:nvPicPr>
                  <pic:blipFill>
                    <a:blip r:embed="rId7"/>
                    <a:stretch>
                      <a:fillRect/>
                    </a:stretch>
                  </pic:blipFill>
                  <pic:spPr>
                    <a:xfrm>
                      <a:off x="0" y="0"/>
                      <a:ext cx="2047875" cy="1277620"/>
                    </a:xfrm>
                    <a:prstGeom prst="rect">
                      <a:avLst/>
                    </a:prstGeom>
                    <a:noFill/>
                    <a:ln>
                      <a:noFill/>
                    </a:ln>
                  </pic:spPr>
                </pic:pic>
              </a:graphicData>
            </a:graphic>
          </wp:inline>
        </w:drawing>
      </w:r>
      <w:r>
        <w:rPr>
          <w:rFonts w:eastAsia="Arial"/>
          <w:color w:val="000000"/>
          <w:kern w:val="0"/>
          <w:sz w:val="21"/>
          <w:szCs w:val="21"/>
          <w:lang w:eastAsia="en-US"/>
        </w:rPr>
        <w:drawing>
          <wp:inline distT="0" distB="0" distL="114300" distR="114300">
            <wp:extent cx="1732915" cy="1253490"/>
            <wp:effectExtent l="0" t="0" r="6985" b="3810"/>
            <wp:docPr id="3" name="图片 3" descr="311_feizhengjiao_wenc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11_feizhengjiao_wenchang"/>
                    <pic:cNvPicPr>
                      <a:picLocks noChangeAspect="1"/>
                    </pic:cNvPicPr>
                  </pic:nvPicPr>
                  <pic:blipFill>
                    <a:blip r:embed="rId8"/>
                    <a:stretch>
                      <a:fillRect/>
                    </a:stretch>
                  </pic:blipFill>
                  <pic:spPr>
                    <a:xfrm>
                      <a:off x="0" y="0"/>
                      <a:ext cx="1732915" cy="1253490"/>
                    </a:xfrm>
                    <a:prstGeom prst="rect">
                      <a:avLst/>
                    </a:prstGeom>
                    <a:noFill/>
                    <a:ln>
                      <a:noFill/>
                    </a:ln>
                  </pic:spPr>
                </pic:pic>
              </a:graphicData>
            </a:graphic>
          </wp:inline>
        </w:drawing>
      </w:r>
      <w:r>
        <w:rPr>
          <w:rFonts w:eastAsia="Arial"/>
          <w:color w:val="000000"/>
          <w:kern w:val="0"/>
          <w:sz w:val="21"/>
          <w:szCs w:val="21"/>
          <w:lang w:eastAsia="en-US"/>
        </w:rPr>
        <w:drawing>
          <wp:inline distT="0" distB="0" distL="114300" distR="114300">
            <wp:extent cx="1612265" cy="1176020"/>
            <wp:effectExtent l="0" t="0" r="635" b="5080"/>
            <wp:docPr id="4" name="图片 4" descr="311_lingpian_wenc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11_lingpian_wenchang"/>
                    <pic:cNvPicPr>
                      <a:picLocks noChangeAspect="1"/>
                    </pic:cNvPicPr>
                  </pic:nvPicPr>
                  <pic:blipFill>
                    <a:blip r:embed="rId9"/>
                    <a:stretch>
                      <a:fillRect/>
                    </a:stretch>
                  </pic:blipFill>
                  <pic:spPr>
                    <a:xfrm>
                      <a:off x="0" y="0"/>
                      <a:ext cx="1612265" cy="1176020"/>
                    </a:xfrm>
                    <a:prstGeom prst="rect">
                      <a:avLst/>
                    </a:prstGeom>
                    <a:noFill/>
                    <a:ln>
                      <a:noFill/>
                    </a:ln>
                  </pic:spPr>
                </pic:pic>
              </a:graphicData>
            </a:graphic>
          </wp:inline>
        </w:drawing>
      </w:r>
      <w:r>
        <w:rPr>
          <w:rFonts w:hint="eastAsia" w:eastAsia="等线"/>
          <w:color w:val="000000"/>
          <w:kern w:val="0"/>
          <w:sz w:val="21"/>
          <w:szCs w:val="21"/>
        </w:rPr>
        <w:t xml:space="preserve">    </w:t>
      </w:r>
      <w:r>
        <w:rPr>
          <w:rFonts w:hint="eastAsia"/>
          <w:sz w:val="22"/>
          <w:szCs w:val="22"/>
        </w:rPr>
        <w:t>（a） 灵敏度拟合结果</w:t>
      </w:r>
      <w:r>
        <w:rPr>
          <w:sz w:val="22"/>
          <w:szCs w:val="22"/>
        </w:rPr>
        <w:t xml:space="preserve"> </w:t>
      </w:r>
      <w:r>
        <w:rPr>
          <w:rFonts w:hint="eastAsia"/>
          <w:sz w:val="22"/>
          <w:szCs w:val="22"/>
        </w:rPr>
        <w:t xml:space="preserve">    （b） 非正交度拟合结果</w:t>
      </w:r>
      <w:r>
        <w:rPr>
          <w:sz w:val="22"/>
          <w:szCs w:val="22"/>
        </w:rPr>
        <w:t xml:space="preserve"> </w:t>
      </w:r>
      <w:r>
        <w:rPr>
          <w:rFonts w:hint="eastAsia"/>
          <w:sz w:val="22"/>
          <w:szCs w:val="22"/>
        </w:rPr>
        <w:t xml:space="preserve">    （c） 零位拟合结果</w:t>
      </w:r>
    </w:p>
    <w:p w14:paraId="39C16803">
      <w:pPr>
        <w:pStyle w:val="22"/>
        <w:rPr>
          <w:sz w:val="21"/>
        </w:rPr>
      </w:pPr>
      <w:bookmarkStart w:id="0" w:name="_Toc224233442"/>
      <w:r>
        <w:rPr>
          <w:rFonts w:hint="eastAsia"/>
          <w:sz w:val="21"/>
        </w:rPr>
        <w:t xml:space="preserve">图2　 </w:t>
      </w:r>
      <w:r>
        <w:rPr>
          <w:rFonts w:hint="eastAsia"/>
          <w:spacing w:val="-2"/>
          <w:sz w:val="21"/>
        </w:rPr>
        <w:t>稳定磁场下的</w:t>
      </w:r>
      <w:bookmarkEnd w:id="0"/>
      <w:r>
        <w:rPr>
          <w:rFonts w:hint="eastAsia"/>
          <w:spacing w:val="-2"/>
          <w:sz w:val="21"/>
        </w:rPr>
        <w:t>椭球拟合实验结果</w:t>
      </w:r>
    </w:p>
    <w:p w14:paraId="5D4A8F37">
      <w:pPr>
        <w:spacing w:line="400" w:lineRule="exact"/>
        <w:ind w:firstLine="420" w:firstLineChars="200"/>
        <w:rPr>
          <w:sz w:val="21"/>
          <w:szCs w:val="21"/>
        </w:rPr>
      </w:pPr>
      <w:r>
        <w:rPr>
          <w:rFonts w:hint="eastAsia"/>
          <w:sz w:val="21"/>
          <w:szCs w:val="21"/>
        </w:rPr>
        <w:t>进行10次独立重复实验，椭球拟合结果如图2，根据贝塞尔公式求得各误差参数实测重复性的不确定度。以Z轴，YZ夹角为例，椭球拟合法在弱磁基准装置中评估参数的不确定度见表1。根据</w:t>
      </w:r>
      <w:r>
        <w:rPr>
          <w:rFonts w:hint="eastAsia" w:ascii="宋体" w:hAnsi="宋体"/>
          <w:sz w:val="21"/>
          <w:szCs w:val="21"/>
        </w:rPr>
        <w:t>《</w:t>
      </w:r>
      <w:r>
        <w:rPr>
          <w:rFonts w:hint="eastAsia" w:ascii="宋体" w:hAnsi="宋体"/>
          <w:bCs/>
          <w:sz w:val="21"/>
          <w:szCs w:val="21"/>
        </w:rPr>
        <w:t>基于椭球拟合的矢量磁强计校准规范</w:t>
      </w:r>
      <w:r>
        <w:rPr>
          <w:rFonts w:hint="eastAsia" w:ascii="宋体" w:hAnsi="宋体"/>
          <w:sz w:val="21"/>
          <w:szCs w:val="21"/>
        </w:rPr>
        <w:t>》查表可得由</w:t>
      </w:r>
      <w:r>
        <w:rPr>
          <w:rFonts w:hint="eastAsia"/>
          <w:sz w:val="21"/>
          <w:szCs w:val="21"/>
        </w:rPr>
        <w:t>基准装置产生的背景磁场和磁强计自身性能造成的不确定度，最终合成由蒙特卡洛法评估的总不确定度，重复椭球拟合实验的不确定度由十次拟合结果的标准差确定：</w:t>
      </w:r>
    </w:p>
    <w:p w14:paraId="5D161FC0">
      <w:pPr>
        <w:spacing w:before="120" w:after="120" w:line="360" w:lineRule="auto"/>
        <w:jc w:val="center"/>
      </w:pPr>
      <w:r>
        <w:rPr>
          <w:rFonts w:hint="eastAsia"/>
        </w:rPr>
        <w:t>表1基准装置中实测数据的不确定度评估</w:t>
      </w:r>
    </w:p>
    <w:tbl>
      <w:tblPr>
        <w:tblStyle w:val="7"/>
        <w:tblW w:w="7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4"/>
        <w:gridCol w:w="1502"/>
        <w:gridCol w:w="1502"/>
        <w:gridCol w:w="1503"/>
      </w:tblGrid>
      <w:tr w14:paraId="63A3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restart"/>
            <w:noWrap w:val="0"/>
            <w:vAlign w:val="center"/>
          </w:tcPr>
          <w:p w14:paraId="1B8C1EA8">
            <w:pPr>
              <w:jc w:val="center"/>
              <w:rPr>
                <w:rFonts w:hint="eastAsia"/>
                <w:sz w:val="21"/>
                <w:szCs w:val="21"/>
              </w:rPr>
            </w:pPr>
            <w:r>
              <w:rPr>
                <w:rFonts w:hint="eastAsia"/>
                <w:sz w:val="21"/>
                <w:szCs w:val="21"/>
              </w:rPr>
              <w:t>不确定度来源</w:t>
            </w:r>
          </w:p>
        </w:tc>
        <w:tc>
          <w:tcPr>
            <w:tcW w:w="1504" w:type="dxa"/>
            <w:vMerge w:val="restart"/>
            <w:noWrap w:val="0"/>
            <w:vAlign w:val="center"/>
          </w:tcPr>
          <w:p w14:paraId="2792F5ED">
            <w:pPr>
              <w:jc w:val="center"/>
              <w:rPr>
                <w:rFonts w:hint="eastAsia"/>
                <w:sz w:val="21"/>
                <w:szCs w:val="21"/>
              </w:rPr>
            </w:pPr>
            <w:r>
              <w:rPr>
                <w:rFonts w:hint="eastAsia"/>
                <w:sz w:val="21"/>
                <w:szCs w:val="21"/>
              </w:rPr>
              <w:t>环境变量</w:t>
            </w:r>
          </w:p>
        </w:tc>
        <w:tc>
          <w:tcPr>
            <w:tcW w:w="4507" w:type="dxa"/>
            <w:gridSpan w:val="3"/>
            <w:noWrap w:val="0"/>
            <w:vAlign w:val="center"/>
          </w:tcPr>
          <w:p w14:paraId="68BC09BE">
            <w:pPr>
              <w:jc w:val="center"/>
              <w:rPr>
                <w:sz w:val="21"/>
                <w:szCs w:val="21"/>
              </w:rPr>
            </w:pPr>
            <w:r>
              <w:rPr>
                <w:rFonts w:hint="eastAsia"/>
                <w:sz w:val="21"/>
                <w:szCs w:val="21"/>
              </w:rPr>
              <w:t>计量项目</w:t>
            </w:r>
          </w:p>
        </w:tc>
      </w:tr>
      <w:tr w14:paraId="1170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continue"/>
            <w:noWrap w:val="0"/>
            <w:vAlign w:val="center"/>
          </w:tcPr>
          <w:p w14:paraId="481B7AF6">
            <w:pPr>
              <w:jc w:val="center"/>
              <w:rPr>
                <w:rFonts w:hint="eastAsia"/>
                <w:sz w:val="21"/>
                <w:szCs w:val="21"/>
              </w:rPr>
            </w:pPr>
          </w:p>
        </w:tc>
        <w:tc>
          <w:tcPr>
            <w:tcW w:w="1504" w:type="dxa"/>
            <w:vMerge w:val="continue"/>
            <w:noWrap w:val="0"/>
            <w:vAlign w:val="center"/>
          </w:tcPr>
          <w:p w14:paraId="2526BC00">
            <w:pPr>
              <w:jc w:val="center"/>
              <w:rPr>
                <w:rFonts w:hint="eastAsia"/>
                <w:sz w:val="21"/>
                <w:szCs w:val="21"/>
              </w:rPr>
            </w:pPr>
          </w:p>
        </w:tc>
        <w:tc>
          <w:tcPr>
            <w:tcW w:w="1502" w:type="dxa"/>
            <w:noWrap w:val="0"/>
            <w:vAlign w:val="center"/>
          </w:tcPr>
          <w:p w14:paraId="528EC5C7">
            <w:pPr>
              <w:jc w:val="center"/>
              <w:rPr>
                <w:sz w:val="21"/>
                <w:szCs w:val="21"/>
                <w:highlight w:val="yellow"/>
              </w:rPr>
            </w:pPr>
            <w:r>
              <w:rPr>
                <w:rFonts w:hint="eastAsia"/>
                <w:sz w:val="21"/>
                <w:szCs w:val="21"/>
              </w:rPr>
              <w:t>响应因子u</w:t>
            </w:r>
            <w:r>
              <w:rPr>
                <w:rFonts w:hint="eastAsia"/>
                <w:sz w:val="21"/>
                <w:szCs w:val="21"/>
                <w:vertAlign w:val="subscript"/>
              </w:rPr>
              <w:t>k</w:t>
            </w:r>
            <w:r>
              <w:rPr>
                <w:rFonts w:hint="eastAsia"/>
                <w:sz w:val="21"/>
                <w:szCs w:val="21"/>
              </w:rPr>
              <w:t>（/nT）</w:t>
            </w:r>
          </w:p>
        </w:tc>
        <w:tc>
          <w:tcPr>
            <w:tcW w:w="1502" w:type="dxa"/>
            <w:noWrap w:val="0"/>
            <w:vAlign w:val="center"/>
          </w:tcPr>
          <w:p w14:paraId="73655102">
            <w:pPr>
              <w:jc w:val="center"/>
              <w:rPr>
                <w:sz w:val="21"/>
                <w:szCs w:val="21"/>
                <w:highlight w:val="yellow"/>
              </w:rPr>
            </w:pPr>
            <w:r>
              <w:rPr>
                <w:rFonts w:hint="eastAsia"/>
                <w:sz w:val="21"/>
                <w:szCs w:val="21"/>
              </w:rPr>
              <w:t>正交度u</w:t>
            </w:r>
            <w:r>
              <w:rPr>
                <w:rFonts w:hint="eastAsia"/>
                <w:sz w:val="21"/>
                <w:szCs w:val="21"/>
                <w:vertAlign w:val="subscript"/>
              </w:rPr>
              <w:t>θ</w:t>
            </w:r>
            <w:r>
              <w:rPr>
                <w:rFonts w:hint="eastAsia"/>
                <w:sz w:val="21"/>
                <w:szCs w:val="21"/>
              </w:rPr>
              <w:t>（°）</w:t>
            </w:r>
          </w:p>
        </w:tc>
        <w:tc>
          <w:tcPr>
            <w:tcW w:w="1503" w:type="dxa"/>
            <w:noWrap w:val="0"/>
            <w:vAlign w:val="center"/>
          </w:tcPr>
          <w:p w14:paraId="41F2A314">
            <w:pPr>
              <w:jc w:val="center"/>
              <w:rPr>
                <w:sz w:val="21"/>
                <w:szCs w:val="21"/>
                <w:highlight w:val="yellow"/>
              </w:rPr>
            </w:pPr>
            <w:r>
              <w:rPr>
                <w:rFonts w:hint="eastAsia"/>
                <w:sz w:val="21"/>
                <w:szCs w:val="21"/>
              </w:rPr>
              <w:t>零偏u</w:t>
            </w:r>
            <w:r>
              <w:rPr>
                <w:rFonts w:hint="eastAsia"/>
                <w:sz w:val="21"/>
                <w:szCs w:val="21"/>
                <w:vertAlign w:val="subscript"/>
              </w:rPr>
              <w:t>B</w:t>
            </w:r>
            <w:r>
              <w:rPr>
                <w:rFonts w:hint="eastAsia"/>
                <w:sz w:val="21"/>
                <w:szCs w:val="21"/>
              </w:rPr>
              <w:t>（nT）</w:t>
            </w:r>
          </w:p>
        </w:tc>
      </w:tr>
      <w:tr w14:paraId="50E9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30687B4D">
            <w:pPr>
              <w:jc w:val="center"/>
              <w:rPr>
                <w:rFonts w:hint="eastAsia"/>
                <w:sz w:val="21"/>
                <w:szCs w:val="21"/>
              </w:rPr>
            </w:pPr>
            <w:r>
              <w:rPr>
                <w:rFonts w:hint="eastAsia"/>
                <w:sz w:val="21"/>
                <w:szCs w:val="21"/>
              </w:rPr>
              <w:t>采样点数</w:t>
            </w:r>
          </w:p>
        </w:tc>
        <w:tc>
          <w:tcPr>
            <w:tcW w:w="1504" w:type="dxa"/>
            <w:noWrap w:val="0"/>
            <w:vAlign w:val="center"/>
          </w:tcPr>
          <w:p w14:paraId="73D00416">
            <w:pPr>
              <w:jc w:val="center"/>
              <w:rPr>
                <w:rFonts w:hint="eastAsia"/>
                <w:sz w:val="21"/>
                <w:szCs w:val="21"/>
              </w:rPr>
            </w:pPr>
            <w:r>
              <w:rPr>
                <w:rFonts w:hint="eastAsia"/>
                <w:sz w:val="21"/>
                <w:szCs w:val="21"/>
              </w:rPr>
              <w:t>26</w:t>
            </w:r>
          </w:p>
        </w:tc>
        <w:tc>
          <w:tcPr>
            <w:tcW w:w="1502" w:type="dxa"/>
            <w:noWrap w:val="0"/>
            <w:vAlign w:val="center"/>
          </w:tcPr>
          <w:p w14:paraId="24733157">
            <w:pPr>
              <w:jc w:val="center"/>
              <w:rPr>
                <w:sz w:val="21"/>
                <w:szCs w:val="21"/>
              </w:rPr>
            </w:pPr>
            <w:r>
              <w:rPr>
                <w:rFonts w:hint="eastAsia"/>
                <w:sz w:val="21"/>
                <w:szCs w:val="21"/>
              </w:rPr>
              <w:t>6.3</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561EF14F">
            <w:pPr>
              <w:jc w:val="center"/>
              <w:rPr>
                <w:sz w:val="21"/>
                <w:szCs w:val="21"/>
              </w:rPr>
            </w:pPr>
            <w:r>
              <w:rPr>
                <w:rFonts w:hint="eastAsia"/>
                <w:sz w:val="21"/>
                <w:szCs w:val="21"/>
              </w:rPr>
              <w:t>4.6</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10EEA5D2">
            <w:pPr>
              <w:jc w:val="center"/>
              <w:rPr>
                <w:sz w:val="21"/>
                <w:szCs w:val="21"/>
                <w:highlight w:val="yellow"/>
              </w:rPr>
            </w:pPr>
            <w:r>
              <w:rPr>
                <w:rFonts w:hint="eastAsia"/>
                <w:sz w:val="21"/>
                <w:szCs w:val="21"/>
              </w:rPr>
              <w:t>0.19</w:t>
            </w:r>
          </w:p>
        </w:tc>
      </w:tr>
      <w:tr w14:paraId="30E3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49499763">
            <w:pPr>
              <w:jc w:val="center"/>
              <w:rPr>
                <w:rFonts w:hint="eastAsia"/>
                <w:sz w:val="21"/>
                <w:szCs w:val="21"/>
              </w:rPr>
            </w:pPr>
            <w:r>
              <w:rPr>
                <w:rFonts w:hint="eastAsia"/>
                <w:sz w:val="21"/>
                <w:szCs w:val="21"/>
              </w:rPr>
              <w:t>磁场稳定性</w:t>
            </w:r>
          </w:p>
        </w:tc>
        <w:tc>
          <w:tcPr>
            <w:tcW w:w="1504" w:type="dxa"/>
            <w:noWrap w:val="0"/>
            <w:vAlign w:val="center"/>
          </w:tcPr>
          <w:p w14:paraId="2EA280F0">
            <w:pPr>
              <w:jc w:val="center"/>
              <w:rPr>
                <w:rFonts w:hint="eastAsia"/>
                <w:sz w:val="21"/>
                <w:szCs w:val="21"/>
              </w:rPr>
            </w:pPr>
            <w:r>
              <w:rPr>
                <w:rFonts w:hint="eastAsia"/>
                <w:sz w:val="21"/>
                <w:szCs w:val="21"/>
              </w:rPr>
              <w:t>0.01</w:t>
            </w:r>
            <w:r>
              <w:rPr>
                <w:rFonts w:hint="eastAsia"/>
                <w:sz w:val="21"/>
                <w:szCs w:val="21"/>
                <w:lang w:val="en-US" w:eastAsia="zh-CN"/>
              </w:rPr>
              <w:t xml:space="preserve"> </w:t>
            </w:r>
            <w:r>
              <w:rPr>
                <w:rFonts w:hint="eastAsia"/>
                <w:sz w:val="21"/>
                <w:szCs w:val="21"/>
              </w:rPr>
              <w:t>nT</w:t>
            </w:r>
          </w:p>
        </w:tc>
        <w:tc>
          <w:tcPr>
            <w:tcW w:w="1502" w:type="dxa"/>
            <w:noWrap w:val="0"/>
            <w:vAlign w:val="center"/>
          </w:tcPr>
          <w:p w14:paraId="30ED82FD">
            <w:pPr>
              <w:jc w:val="center"/>
              <w:rPr>
                <w:sz w:val="21"/>
                <w:szCs w:val="21"/>
              </w:rPr>
            </w:pPr>
            <w:r>
              <w:rPr>
                <w:rFonts w:hint="eastAsia"/>
                <w:sz w:val="21"/>
                <w:szCs w:val="21"/>
              </w:rPr>
              <w:t>5.1</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2BAB964A">
            <w:pPr>
              <w:jc w:val="center"/>
              <w:rPr>
                <w:sz w:val="21"/>
                <w:szCs w:val="21"/>
              </w:rPr>
            </w:pPr>
            <w:r>
              <w:rPr>
                <w:rFonts w:hint="eastAsia"/>
                <w:sz w:val="21"/>
                <w:szCs w:val="21"/>
              </w:rPr>
              <w:t>4.5</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2BB6D04A">
            <w:pPr>
              <w:jc w:val="center"/>
              <w:rPr>
                <w:sz w:val="21"/>
                <w:szCs w:val="21"/>
                <w:highlight w:val="yellow"/>
              </w:rPr>
            </w:pPr>
            <w:r>
              <w:rPr>
                <w:rFonts w:hint="eastAsia"/>
                <w:sz w:val="21"/>
                <w:szCs w:val="21"/>
              </w:rPr>
              <w:t>0.18</w:t>
            </w:r>
          </w:p>
        </w:tc>
      </w:tr>
      <w:tr w14:paraId="7758B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5A6765E7">
            <w:pPr>
              <w:jc w:val="center"/>
              <w:rPr>
                <w:sz w:val="21"/>
                <w:szCs w:val="21"/>
              </w:rPr>
            </w:pPr>
            <w:r>
              <w:rPr>
                <w:rFonts w:hint="eastAsia"/>
                <w:sz w:val="21"/>
                <w:szCs w:val="21"/>
              </w:rPr>
              <w:t>传感器非线性</w:t>
            </w:r>
          </w:p>
        </w:tc>
        <w:tc>
          <w:tcPr>
            <w:tcW w:w="1504" w:type="dxa"/>
            <w:noWrap w:val="0"/>
            <w:vAlign w:val="center"/>
          </w:tcPr>
          <w:p w14:paraId="41825906">
            <w:pPr>
              <w:jc w:val="center"/>
              <w:rPr>
                <w:sz w:val="21"/>
                <w:szCs w:val="21"/>
              </w:rPr>
            </w:pPr>
            <w:r>
              <w:rPr>
                <w:rFonts w:hint="eastAsia"/>
                <w:sz w:val="21"/>
                <w:szCs w:val="21"/>
              </w:rPr>
              <w:t>1</w:t>
            </w:r>
            <w:r>
              <w:rPr>
                <w:rFonts w:hint="eastAsia"/>
                <w:sz w:val="21"/>
                <w:szCs w:val="21"/>
                <w:lang w:val="en-US" w:eastAsia="zh-CN"/>
              </w:rPr>
              <w:t xml:space="preserve"> </w:t>
            </w:r>
            <w:r>
              <w:rPr>
                <w:rFonts w:hint="eastAsia"/>
                <w:sz w:val="21"/>
                <w:szCs w:val="21"/>
              </w:rPr>
              <w:t>nT</w:t>
            </w:r>
          </w:p>
        </w:tc>
        <w:tc>
          <w:tcPr>
            <w:tcW w:w="1502" w:type="dxa"/>
            <w:noWrap w:val="0"/>
            <w:vAlign w:val="center"/>
          </w:tcPr>
          <w:p w14:paraId="7AE2FB18">
            <w:pPr>
              <w:jc w:val="center"/>
              <w:rPr>
                <w:sz w:val="21"/>
                <w:szCs w:val="21"/>
              </w:rPr>
            </w:pPr>
            <w:r>
              <w:rPr>
                <w:rFonts w:hint="eastAsia"/>
                <w:sz w:val="21"/>
                <w:szCs w:val="21"/>
              </w:rPr>
              <w:t>5.0</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02E13CFC">
            <w:pPr>
              <w:jc w:val="center"/>
              <w:rPr>
                <w:sz w:val="21"/>
                <w:szCs w:val="21"/>
              </w:rPr>
            </w:pPr>
            <w:r>
              <w:rPr>
                <w:rFonts w:hint="eastAsia"/>
                <w:sz w:val="21"/>
                <w:szCs w:val="21"/>
              </w:rPr>
              <w:t>4.3</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116E2D76">
            <w:pPr>
              <w:jc w:val="center"/>
              <w:rPr>
                <w:sz w:val="21"/>
                <w:szCs w:val="21"/>
                <w:highlight w:val="yellow"/>
              </w:rPr>
            </w:pPr>
            <w:r>
              <w:rPr>
                <w:rFonts w:hint="eastAsia"/>
                <w:sz w:val="21"/>
                <w:szCs w:val="21"/>
              </w:rPr>
              <w:t>0.18</w:t>
            </w:r>
          </w:p>
        </w:tc>
      </w:tr>
      <w:tr w14:paraId="6C0A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3391CA6D">
            <w:pPr>
              <w:jc w:val="center"/>
              <w:rPr>
                <w:sz w:val="21"/>
                <w:szCs w:val="21"/>
              </w:rPr>
            </w:pPr>
            <w:r>
              <w:rPr>
                <w:rFonts w:hint="eastAsia"/>
                <w:sz w:val="21"/>
                <w:szCs w:val="21"/>
              </w:rPr>
              <w:t>传感器噪声</w:t>
            </w:r>
          </w:p>
        </w:tc>
        <w:tc>
          <w:tcPr>
            <w:tcW w:w="1504" w:type="dxa"/>
            <w:noWrap w:val="0"/>
            <w:vAlign w:val="center"/>
          </w:tcPr>
          <w:p w14:paraId="77BF4F5E">
            <w:pPr>
              <w:jc w:val="center"/>
              <w:rPr>
                <w:sz w:val="21"/>
                <w:szCs w:val="21"/>
              </w:rPr>
            </w:pPr>
            <w:r>
              <w:rPr>
                <w:rFonts w:hint="eastAsia"/>
                <w:sz w:val="21"/>
                <w:szCs w:val="21"/>
              </w:rPr>
              <w:t>0.1</w:t>
            </w:r>
            <w:r>
              <w:rPr>
                <w:rFonts w:hint="eastAsia"/>
                <w:sz w:val="21"/>
                <w:szCs w:val="21"/>
                <w:lang w:val="en-US" w:eastAsia="zh-CN"/>
              </w:rPr>
              <w:t xml:space="preserve"> </w:t>
            </w:r>
            <w:r>
              <w:rPr>
                <w:rFonts w:hint="eastAsia"/>
                <w:sz w:val="21"/>
                <w:szCs w:val="21"/>
              </w:rPr>
              <w:t>nT</w:t>
            </w:r>
          </w:p>
        </w:tc>
        <w:tc>
          <w:tcPr>
            <w:tcW w:w="1502" w:type="dxa"/>
            <w:noWrap w:val="0"/>
            <w:vAlign w:val="center"/>
          </w:tcPr>
          <w:p w14:paraId="2F08C673">
            <w:pPr>
              <w:jc w:val="center"/>
              <w:rPr>
                <w:sz w:val="21"/>
                <w:szCs w:val="21"/>
              </w:rPr>
            </w:pPr>
            <w:r>
              <w:rPr>
                <w:rFonts w:hint="eastAsia"/>
                <w:sz w:val="21"/>
                <w:szCs w:val="21"/>
              </w:rPr>
              <w:t>4.6</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7062535A">
            <w:pPr>
              <w:jc w:val="center"/>
              <w:rPr>
                <w:sz w:val="21"/>
                <w:szCs w:val="21"/>
              </w:rPr>
            </w:pPr>
            <w:r>
              <w:rPr>
                <w:rFonts w:hint="eastAsia"/>
                <w:sz w:val="21"/>
                <w:szCs w:val="21"/>
              </w:rPr>
              <w:t>4.1</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3D240D58">
            <w:pPr>
              <w:jc w:val="center"/>
              <w:rPr>
                <w:sz w:val="21"/>
                <w:szCs w:val="21"/>
              </w:rPr>
            </w:pPr>
            <w:r>
              <w:rPr>
                <w:rFonts w:hint="eastAsia"/>
                <w:sz w:val="21"/>
                <w:szCs w:val="21"/>
              </w:rPr>
              <w:t>0.16</w:t>
            </w:r>
          </w:p>
        </w:tc>
      </w:tr>
      <w:tr w14:paraId="3AA7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745E19E9">
            <w:pPr>
              <w:jc w:val="center"/>
              <w:rPr>
                <w:sz w:val="21"/>
                <w:szCs w:val="21"/>
              </w:rPr>
            </w:pPr>
            <w:r>
              <w:rPr>
                <w:rFonts w:hint="eastAsia"/>
                <w:sz w:val="21"/>
                <w:szCs w:val="21"/>
              </w:rPr>
              <w:t>磁场梯度</w:t>
            </w:r>
          </w:p>
        </w:tc>
        <w:tc>
          <w:tcPr>
            <w:tcW w:w="1504" w:type="dxa"/>
            <w:noWrap w:val="0"/>
            <w:vAlign w:val="center"/>
          </w:tcPr>
          <w:p w14:paraId="6BF433ED">
            <w:pPr>
              <w:jc w:val="center"/>
              <w:rPr>
                <w:sz w:val="21"/>
                <w:szCs w:val="21"/>
              </w:rPr>
            </w:pPr>
            <w:r>
              <w:rPr>
                <w:rFonts w:hint="eastAsia"/>
                <w:sz w:val="21"/>
                <w:szCs w:val="21"/>
              </w:rPr>
              <w:t>0.1</w:t>
            </w:r>
            <w:r>
              <w:rPr>
                <w:rFonts w:hint="eastAsia"/>
                <w:sz w:val="21"/>
                <w:szCs w:val="21"/>
                <w:lang w:val="en-US" w:eastAsia="zh-CN"/>
              </w:rPr>
              <w:t xml:space="preserve"> </w:t>
            </w:r>
            <w:r>
              <w:rPr>
                <w:rFonts w:hint="eastAsia"/>
                <w:sz w:val="21"/>
                <w:szCs w:val="21"/>
              </w:rPr>
              <w:t>nT</w:t>
            </w:r>
          </w:p>
        </w:tc>
        <w:tc>
          <w:tcPr>
            <w:tcW w:w="1502" w:type="dxa"/>
            <w:noWrap w:val="0"/>
            <w:vAlign w:val="center"/>
          </w:tcPr>
          <w:p w14:paraId="38230BB9">
            <w:pPr>
              <w:jc w:val="center"/>
              <w:rPr>
                <w:sz w:val="21"/>
                <w:szCs w:val="21"/>
              </w:rPr>
            </w:pPr>
            <w:r>
              <w:rPr>
                <w:rFonts w:hint="eastAsia"/>
                <w:sz w:val="21"/>
                <w:szCs w:val="21"/>
              </w:rPr>
              <w:t>4.5</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18DF53C8">
            <w:pPr>
              <w:jc w:val="center"/>
              <w:rPr>
                <w:sz w:val="21"/>
                <w:szCs w:val="21"/>
              </w:rPr>
            </w:pPr>
            <w:r>
              <w:rPr>
                <w:rFonts w:hint="eastAsia"/>
                <w:sz w:val="21"/>
                <w:szCs w:val="21"/>
              </w:rPr>
              <w:t>4.0</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7AC19B5A">
            <w:pPr>
              <w:jc w:val="center"/>
              <w:rPr>
                <w:sz w:val="21"/>
                <w:szCs w:val="21"/>
              </w:rPr>
            </w:pPr>
            <w:r>
              <w:rPr>
                <w:rFonts w:hint="eastAsia"/>
                <w:sz w:val="21"/>
                <w:szCs w:val="21"/>
              </w:rPr>
              <w:t>0.16</w:t>
            </w:r>
          </w:p>
        </w:tc>
      </w:tr>
      <w:tr w14:paraId="6A2B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383D02FF">
            <w:pPr>
              <w:jc w:val="center"/>
              <w:rPr>
                <w:rFonts w:hint="eastAsia" w:eastAsia="宋体"/>
                <w:sz w:val="21"/>
                <w:szCs w:val="21"/>
                <w:lang w:eastAsia="zh-CN"/>
              </w:rPr>
            </w:pPr>
            <w:r>
              <w:rPr>
                <w:rFonts w:hint="eastAsia"/>
                <w:sz w:val="21"/>
                <w:szCs w:val="21"/>
              </w:rPr>
              <w:t>磁场</w:t>
            </w:r>
            <w:r>
              <w:rPr>
                <w:rFonts w:hint="eastAsia"/>
                <w:sz w:val="21"/>
                <w:szCs w:val="21"/>
                <w:lang w:val="en-US" w:eastAsia="zh-CN"/>
              </w:rPr>
              <w:t>不确定度</w:t>
            </w:r>
          </w:p>
        </w:tc>
        <w:tc>
          <w:tcPr>
            <w:tcW w:w="1504" w:type="dxa"/>
            <w:noWrap w:val="0"/>
            <w:vAlign w:val="center"/>
          </w:tcPr>
          <w:p w14:paraId="3887559B">
            <w:pPr>
              <w:jc w:val="center"/>
              <w:rPr>
                <w:sz w:val="21"/>
                <w:szCs w:val="21"/>
              </w:rPr>
            </w:pPr>
            <w:r>
              <w:rPr>
                <w:rFonts w:hint="eastAsia"/>
                <w:sz w:val="21"/>
                <w:szCs w:val="21"/>
              </w:rPr>
              <w:t>1</w:t>
            </w:r>
            <w:r>
              <w:rPr>
                <w:rFonts w:hint="eastAsia"/>
                <w:sz w:val="21"/>
                <w:szCs w:val="21"/>
                <w:lang w:val="en-US" w:eastAsia="zh-CN"/>
              </w:rPr>
              <w:t xml:space="preserve"> </w:t>
            </w:r>
            <w:r>
              <w:rPr>
                <w:rFonts w:hint="eastAsia"/>
                <w:sz w:val="21"/>
                <w:szCs w:val="21"/>
              </w:rPr>
              <w:t>nT</w:t>
            </w:r>
          </w:p>
        </w:tc>
        <w:tc>
          <w:tcPr>
            <w:tcW w:w="1502" w:type="dxa"/>
            <w:noWrap w:val="0"/>
            <w:vAlign w:val="center"/>
          </w:tcPr>
          <w:p w14:paraId="1F625EAF">
            <w:pPr>
              <w:jc w:val="center"/>
              <w:rPr>
                <w:sz w:val="21"/>
                <w:szCs w:val="21"/>
              </w:rPr>
            </w:pPr>
            <w:r>
              <w:rPr>
                <w:rFonts w:hint="eastAsia"/>
                <w:sz w:val="21"/>
                <w:szCs w:val="21"/>
              </w:rPr>
              <w:t>2.1</w:t>
            </w:r>
            <w:r>
              <w:rPr>
                <w:sz w:val="21"/>
                <w:szCs w:val="21"/>
              </w:rPr>
              <w:t>×10</w:t>
            </w:r>
            <w:r>
              <w:rPr>
                <w:sz w:val="21"/>
                <w:szCs w:val="21"/>
                <w:vertAlign w:val="superscript"/>
              </w:rPr>
              <w:t>-</w:t>
            </w:r>
            <w:r>
              <w:rPr>
                <w:rFonts w:hint="eastAsia"/>
                <w:sz w:val="21"/>
                <w:szCs w:val="21"/>
                <w:vertAlign w:val="superscript"/>
              </w:rPr>
              <w:t>5</w:t>
            </w:r>
          </w:p>
        </w:tc>
        <w:tc>
          <w:tcPr>
            <w:tcW w:w="1502" w:type="dxa"/>
            <w:noWrap w:val="0"/>
            <w:vAlign w:val="center"/>
          </w:tcPr>
          <w:p w14:paraId="41F0BD86">
            <w:pPr>
              <w:jc w:val="center"/>
              <w:rPr>
                <w:sz w:val="21"/>
                <w:szCs w:val="21"/>
              </w:rPr>
            </w:pPr>
            <w:r>
              <w:rPr>
                <w:rFonts w:hint="eastAsia"/>
                <w:sz w:val="21"/>
                <w:szCs w:val="21"/>
              </w:rPr>
              <w:t>4.0</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1BD6D00D">
            <w:pPr>
              <w:jc w:val="center"/>
              <w:rPr>
                <w:sz w:val="21"/>
                <w:szCs w:val="21"/>
              </w:rPr>
            </w:pPr>
            <w:r>
              <w:rPr>
                <w:rFonts w:hint="eastAsia"/>
                <w:sz w:val="21"/>
                <w:szCs w:val="21"/>
              </w:rPr>
              <w:t>0.16</w:t>
            </w:r>
          </w:p>
        </w:tc>
      </w:tr>
      <w:tr w14:paraId="7368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8" w:type="dxa"/>
            <w:gridSpan w:val="2"/>
            <w:noWrap w:val="0"/>
            <w:vAlign w:val="center"/>
          </w:tcPr>
          <w:p w14:paraId="1CA6EF20">
            <w:pPr>
              <w:jc w:val="center"/>
              <w:rPr>
                <w:sz w:val="21"/>
                <w:szCs w:val="21"/>
              </w:rPr>
            </w:pPr>
            <w:r>
              <w:rPr>
                <w:rFonts w:hint="eastAsia"/>
                <w:sz w:val="21"/>
                <w:szCs w:val="21"/>
              </w:rPr>
              <w:t>蒙特卡洛法评估的</w:t>
            </w:r>
          </w:p>
          <w:p w14:paraId="44216CE8">
            <w:pPr>
              <w:jc w:val="center"/>
              <w:rPr>
                <w:rFonts w:hint="eastAsia"/>
                <w:sz w:val="21"/>
                <w:szCs w:val="21"/>
              </w:rPr>
            </w:pPr>
            <w:r>
              <w:rPr>
                <w:rFonts w:hint="eastAsia"/>
                <w:sz w:val="21"/>
                <w:szCs w:val="21"/>
              </w:rPr>
              <w:t>合成不确定度</w:t>
            </w:r>
          </w:p>
        </w:tc>
        <w:tc>
          <w:tcPr>
            <w:tcW w:w="1502" w:type="dxa"/>
            <w:noWrap w:val="0"/>
            <w:vAlign w:val="center"/>
          </w:tcPr>
          <w:p w14:paraId="3099D7F2">
            <w:pPr>
              <w:jc w:val="center"/>
              <w:rPr>
                <w:rFonts w:hint="eastAsia"/>
                <w:sz w:val="21"/>
                <w:szCs w:val="21"/>
              </w:rPr>
            </w:pPr>
            <w:r>
              <w:rPr>
                <w:rFonts w:hint="eastAsia"/>
                <w:sz w:val="21"/>
                <w:szCs w:val="21"/>
              </w:rPr>
              <w:t>2.4×</w:t>
            </w:r>
            <w:r>
              <w:rPr>
                <w:sz w:val="21"/>
                <w:szCs w:val="21"/>
              </w:rPr>
              <w:t>10</w:t>
            </w:r>
            <w:r>
              <w:rPr>
                <w:sz w:val="21"/>
                <w:szCs w:val="21"/>
                <w:vertAlign w:val="superscript"/>
              </w:rPr>
              <w:t>-</w:t>
            </w:r>
            <w:r>
              <w:rPr>
                <w:rFonts w:hint="eastAsia"/>
                <w:sz w:val="21"/>
                <w:szCs w:val="21"/>
                <w:vertAlign w:val="superscript"/>
              </w:rPr>
              <w:t>5</w:t>
            </w:r>
          </w:p>
        </w:tc>
        <w:tc>
          <w:tcPr>
            <w:tcW w:w="1502" w:type="dxa"/>
            <w:noWrap w:val="0"/>
            <w:vAlign w:val="center"/>
          </w:tcPr>
          <w:p w14:paraId="7695D6E8">
            <w:pPr>
              <w:jc w:val="center"/>
              <w:rPr>
                <w:rFonts w:hint="eastAsia"/>
                <w:sz w:val="21"/>
                <w:szCs w:val="21"/>
              </w:rPr>
            </w:pPr>
            <w:r>
              <w:rPr>
                <w:rFonts w:hint="eastAsia"/>
                <w:sz w:val="21"/>
                <w:szCs w:val="21"/>
              </w:rPr>
              <w:t>1.0</w:t>
            </w:r>
            <w:r>
              <w:rPr>
                <w:sz w:val="21"/>
                <w:szCs w:val="21"/>
              </w:rPr>
              <w:t>×10</w:t>
            </w:r>
            <w:r>
              <w:rPr>
                <w:sz w:val="21"/>
                <w:szCs w:val="21"/>
                <w:vertAlign w:val="superscript"/>
              </w:rPr>
              <w:t>-</w:t>
            </w:r>
            <w:r>
              <w:rPr>
                <w:rFonts w:hint="eastAsia"/>
                <w:sz w:val="21"/>
                <w:szCs w:val="21"/>
                <w:vertAlign w:val="superscript"/>
              </w:rPr>
              <w:t>3</w:t>
            </w:r>
          </w:p>
        </w:tc>
        <w:tc>
          <w:tcPr>
            <w:tcW w:w="1503" w:type="dxa"/>
            <w:noWrap w:val="0"/>
            <w:vAlign w:val="center"/>
          </w:tcPr>
          <w:p w14:paraId="59B3FBD9">
            <w:pPr>
              <w:jc w:val="center"/>
              <w:rPr>
                <w:rFonts w:hint="eastAsia"/>
                <w:sz w:val="21"/>
                <w:szCs w:val="21"/>
              </w:rPr>
            </w:pPr>
            <w:r>
              <w:rPr>
                <w:rFonts w:hint="eastAsia"/>
                <w:sz w:val="21"/>
                <w:szCs w:val="21"/>
              </w:rPr>
              <w:t>0.42</w:t>
            </w:r>
          </w:p>
        </w:tc>
      </w:tr>
      <w:tr w14:paraId="28F3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8" w:type="dxa"/>
            <w:gridSpan w:val="2"/>
            <w:noWrap w:val="0"/>
            <w:vAlign w:val="center"/>
          </w:tcPr>
          <w:p w14:paraId="3B1268BE">
            <w:pPr>
              <w:jc w:val="center"/>
              <w:rPr>
                <w:rFonts w:hint="eastAsia"/>
                <w:sz w:val="21"/>
                <w:szCs w:val="21"/>
              </w:rPr>
            </w:pPr>
            <w:r>
              <w:rPr>
                <w:rFonts w:hint="eastAsia"/>
                <w:sz w:val="21"/>
                <w:szCs w:val="21"/>
              </w:rPr>
              <w:t>重复实验的不确定度</w:t>
            </w:r>
          </w:p>
        </w:tc>
        <w:tc>
          <w:tcPr>
            <w:tcW w:w="1502" w:type="dxa"/>
            <w:noWrap w:val="0"/>
            <w:vAlign w:val="center"/>
          </w:tcPr>
          <w:p w14:paraId="2B04DCF3">
            <w:pPr>
              <w:jc w:val="center"/>
              <w:rPr>
                <w:rFonts w:hint="eastAsia"/>
                <w:sz w:val="21"/>
                <w:szCs w:val="21"/>
              </w:rPr>
            </w:pPr>
            <w:r>
              <w:rPr>
                <w:rFonts w:hint="eastAsia"/>
                <w:sz w:val="21"/>
                <w:szCs w:val="21"/>
              </w:rPr>
              <w:t>5.3×</w:t>
            </w:r>
            <w:r>
              <w:rPr>
                <w:sz w:val="21"/>
                <w:szCs w:val="21"/>
              </w:rPr>
              <w:t>10</w:t>
            </w:r>
            <w:r>
              <w:rPr>
                <w:sz w:val="21"/>
                <w:szCs w:val="21"/>
                <w:vertAlign w:val="superscript"/>
              </w:rPr>
              <w:t>-</w:t>
            </w:r>
            <w:r>
              <w:rPr>
                <w:rFonts w:hint="eastAsia"/>
                <w:sz w:val="21"/>
                <w:szCs w:val="21"/>
                <w:vertAlign w:val="superscript"/>
              </w:rPr>
              <w:t>5</w:t>
            </w:r>
          </w:p>
        </w:tc>
        <w:tc>
          <w:tcPr>
            <w:tcW w:w="1502" w:type="dxa"/>
            <w:noWrap w:val="0"/>
            <w:vAlign w:val="center"/>
          </w:tcPr>
          <w:p w14:paraId="53E3A58D">
            <w:pPr>
              <w:jc w:val="center"/>
              <w:rPr>
                <w:rFonts w:hint="eastAsia"/>
                <w:sz w:val="21"/>
                <w:szCs w:val="21"/>
              </w:rPr>
            </w:pPr>
            <w:r>
              <w:rPr>
                <w:rFonts w:hint="eastAsia"/>
                <w:sz w:val="21"/>
                <w:szCs w:val="21"/>
              </w:rPr>
              <w:t>2.8×</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19852C7B">
            <w:pPr>
              <w:jc w:val="center"/>
              <w:rPr>
                <w:rFonts w:hint="eastAsia"/>
                <w:sz w:val="21"/>
                <w:szCs w:val="21"/>
              </w:rPr>
            </w:pPr>
            <w:r>
              <w:rPr>
                <w:rFonts w:hint="eastAsia"/>
                <w:sz w:val="21"/>
                <w:szCs w:val="21"/>
              </w:rPr>
              <w:t>0.59</w:t>
            </w:r>
          </w:p>
        </w:tc>
      </w:tr>
    </w:tbl>
    <w:p w14:paraId="3911EAB2">
      <w:pPr>
        <w:spacing w:line="400" w:lineRule="exact"/>
        <w:ind w:firstLine="420" w:firstLineChars="200"/>
        <w:rPr>
          <w:sz w:val="21"/>
          <w:szCs w:val="21"/>
        </w:rPr>
      </w:pPr>
      <w:r>
        <w:rPr>
          <w:rFonts w:hint="eastAsia"/>
          <w:sz w:val="21"/>
          <w:szCs w:val="21"/>
        </w:rPr>
        <w:t>野外环境下的不确定度实验：实验地点位于北京市</w:t>
      </w:r>
      <w:r>
        <w:rPr>
          <w:sz w:val="21"/>
          <w:szCs w:val="21"/>
        </w:rPr>
        <w:t>门头沟区的苇子水村</w:t>
      </w:r>
      <w:r>
        <w:rPr>
          <w:rFonts w:hint="eastAsia"/>
          <w:sz w:val="21"/>
          <w:szCs w:val="21"/>
        </w:rPr>
        <w:t>，使用高精度</w:t>
      </w:r>
      <w:r>
        <w:rPr>
          <w:sz w:val="21"/>
          <w:szCs w:val="21"/>
        </w:rPr>
        <w:t>Overhauser</w:t>
      </w:r>
      <w:r>
        <w:rPr>
          <w:rFonts w:hint="eastAsia"/>
          <w:sz w:val="21"/>
          <w:szCs w:val="21"/>
        </w:rPr>
        <w:t>磁强计采集5分钟环境磁场，其磁场变化如图3（b）所示，磁场均值为54969.77nT，环境磁场波动峰值为3.04nT，磁场</w:t>
      </w:r>
      <w:r>
        <w:rPr>
          <w:rFonts w:hint="eastAsia"/>
          <w:sz w:val="21"/>
          <w:szCs w:val="21"/>
          <w:lang w:val="en-US" w:eastAsia="zh-CN"/>
        </w:rPr>
        <w:t xml:space="preserve">标准偏差（A类不确定度）为0.48 </w:t>
      </w:r>
      <w:r>
        <w:rPr>
          <w:rFonts w:hint="eastAsia"/>
          <w:sz w:val="21"/>
          <w:szCs w:val="21"/>
        </w:rPr>
        <w:t>nT，</w:t>
      </w:r>
      <w:r>
        <w:rPr>
          <w:rFonts w:hint="eastAsia"/>
          <w:sz w:val="21"/>
          <w:szCs w:val="21"/>
          <w:lang w:val="en-US" w:eastAsia="zh-CN"/>
        </w:rPr>
        <w:t>标准磁力仪为</w:t>
      </w:r>
      <w:r>
        <w:rPr>
          <w:sz w:val="21"/>
          <w:szCs w:val="21"/>
        </w:rPr>
        <w:t>Overhauser</w:t>
      </w:r>
      <w:r>
        <w:rPr>
          <w:rFonts w:hint="eastAsia"/>
          <w:sz w:val="21"/>
          <w:szCs w:val="21"/>
        </w:rPr>
        <w:t>磁强计</w:t>
      </w:r>
      <w:r>
        <w:rPr>
          <w:rFonts w:hint="eastAsia"/>
          <w:sz w:val="21"/>
          <w:szCs w:val="21"/>
          <w:lang w:eastAsia="zh-CN"/>
        </w:rPr>
        <w:t>，</w:t>
      </w:r>
      <w:r>
        <w:rPr>
          <w:rFonts w:hint="eastAsia"/>
          <w:sz w:val="21"/>
          <w:szCs w:val="21"/>
          <w:lang w:val="en-US" w:eastAsia="zh-CN"/>
        </w:rPr>
        <w:t>标称准确度为0.1 nT，即磁场B类不确定度为 0.1 nT，因此磁场总不确定度为u=</w:t>
      </w:r>
      <m:oMath>
        <m:rad>
          <m:radPr>
            <m:degHide m:val="1"/>
            <m:ctrlPr>
              <w:rPr>
                <w:rFonts w:ascii="Cambria Math" w:hAnsi="Cambria Math"/>
                <w:i/>
                <w:sz w:val="21"/>
                <w:szCs w:val="21"/>
                <w:lang w:val="en-US"/>
              </w:rPr>
            </m:ctrlPr>
          </m:radPr>
          <m:deg>
            <m:ctrlPr>
              <w:rPr>
                <w:rFonts w:ascii="Cambria Math" w:hAnsi="Cambria Math"/>
                <w:i/>
                <w:sz w:val="21"/>
                <w:szCs w:val="21"/>
                <w:lang w:val="en-US"/>
              </w:rPr>
            </m:ctrlPr>
          </m:deg>
          <m:e>
            <m:sSup>
              <m:sSupPr>
                <m:ctrlPr>
                  <w:rPr>
                    <w:rFonts w:hint="default" w:ascii="Cambria Math" w:hAnsi="Cambria Math"/>
                    <w:i/>
                    <w:sz w:val="21"/>
                    <w:szCs w:val="21"/>
                    <w:lang w:val="en-US" w:eastAsia="zh-CN"/>
                  </w:rPr>
                </m:ctrlPr>
              </m:sSupPr>
              <m:e>
                <m:r>
                  <m:rPr/>
                  <w:rPr>
                    <w:rFonts w:hint="default" w:ascii="Cambria Math" w:hAnsi="Cambria Math"/>
                    <w:sz w:val="21"/>
                    <w:szCs w:val="21"/>
                    <w:lang w:val="en-US" w:eastAsia="zh-CN"/>
                  </w:rPr>
                  <m:t>0.48</m:t>
                </m:r>
                <m:ctrlPr>
                  <w:rPr>
                    <w:rFonts w:hint="default" w:ascii="Cambria Math" w:hAnsi="Cambria Math"/>
                    <w:i/>
                    <w:sz w:val="21"/>
                    <w:szCs w:val="21"/>
                    <w:lang w:val="en-US" w:eastAsia="zh-CN"/>
                  </w:rPr>
                </m:ctrlPr>
              </m:e>
              <m:sup>
                <m:r>
                  <m:rPr/>
                  <w:rPr>
                    <w:rFonts w:hint="default" w:ascii="Cambria Math" w:hAnsi="Cambria Math"/>
                    <w:sz w:val="21"/>
                    <w:szCs w:val="21"/>
                    <w:lang w:val="en-US" w:eastAsia="zh-CN"/>
                  </w:rPr>
                  <m:t>2</m:t>
                </m:r>
                <m:ctrlPr>
                  <w:rPr>
                    <w:rFonts w:hint="default" w:ascii="Cambria Math" w:hAnsi="Cambria Math"/>
                    <w:i/>
                    <w:sz w:val="21"/>
                    <w:szCs w:val="21"/>
                    <w:lang w:val="en-US" w:eastAsia="zh-CN"/>
                  </w:rPr>
                </m:ctrlPr>
              </m:sup>
            </m:sSup>
            <m:r>
              <m:rPr/>
              <w:rPr>
                <w:rFonts w:hint="default" w:ascii="Cambria Math" w:hAnsi="Cambria Math"/>
                <w:sz w:val="21"/>
                <w:szCs w:val="21"/>
                <w:lang w:val="en-US" w:eastAsia="zh-CN"/>
              </w:rPr>
              <m:t xml:space="preserve"> +</m:t>
            </m:r>
            <m:sSup>
              <m:sSupPr>
                <m:ctrlPr>
                  <w:rPr>
                    <w:rFonts w:hint="default" w:ascii="Cambria Math" w:hAnsi="Cambria Math"/>
                    <w:i/>
                    <w:sz w:val="21"/>
                    <w:szCs w:val="21"/>
                    <w:lang w:val="en-US" w:eastAsia="zh-CN"/>
                  </w:rPr>
                </m:ctrlPr>
              </m:sSupPr>
              <m:e>
                <m:r>
                  <m:rPr/>
                  <w:rPr>
                    <w:rFonts w:hint="default" w:ascii="Cambria Math" w:hAnsi="Cambria Math"/>
                    <w:sz w:val="21"/>
                    <w:szCs w:val="21"/>
                    <w:lang w:val="en-US" w:eastAsia="zh-CN"/>
                  </w:rPr>
                  <m:t>0.1</m:t>
                </m:r>
                <m:ctrlPr>
                  <w:rPr>
                    <w:rFonts w:hint="default" w:ascii="Cambria Math" w:hAnsi="Cambria Math"/>
                    <w:i/>
                    <w:sz w:val="21"/>
                    <w:szCs w:val="21"/>
                    <w:lang w:val="en-US" w:eastAsia="zh-CN"/>
                  </w:rPr>
                </m:ctrlPr>
              </m:e>
              <m:sup>
                <m:r>
                  <m:rPr/>
                  <w:rPr>
                    <w:rFonts w:hint="default" w:ascii="Cambria Math" w:hAnsi="Cambria Math"/>
                    <w:sz w:val="21"/>
                    <w:szCs w:val="21"/>
                    <w:lang w:val="en-US" w:eastAsia="zh-CN"/>
                  </w:rPr>
                  <m:t>2</m:t>
                </m:r>
                <m:ctrlPr>
                  <w:rPr>
                    <w:rFonts w:hint="default" w:ascii="Cambria Math" w:hAnsi="Cambria Math"/>
                    <w:i/>
                    <w:sz w:val="21"/>
                    <w:szCs w:val="21"/>
                    <w:lang w:val="en-US" w:eastAsia="zh-CN"/>
                  </w:rPr>
                </m:ctrlPr>
              </m:sup>
            </m:sSup>
            <m:r>
              <m:rPr/>
              <w:rPr>
                <w:rFonts w:hint="default" w:ascii="Cambria Math" w:hAnsi="Cambria Math"/>
                <w:sz w:val="21"/>
                <w:szCs w:val="21"/>
                <w:lang w:val="en-US" w:eastAsia="zh-CN"/>
              </w:rPr>
              <m:t xml:space="preserve"> </m:t>
            </m:r>
            <m:ctrlPr>
              <w:rPr>
                <w:rFonts w:ascii="Cambria Math" w:hAnsi="Cambria Math"/>
                <w:i/>
                <w:sz w:val="21"/>
                <w:szCs w:val="21"/>
                <w:lang w:val="en-US"/>
              </w:rPr>
            </m:ctrlPr>
          </m:e>
        </m:rad>
        <m:r>
          <m:rPr/>
          <w:rPr>
            <w:rFonts w:hint="default" w:ascii="Cambria Math" w:hAnsi="Cambria Math"/>
            <w:sz w:val="21"/>
            <w:szCs w:val="21"/>
            <w:lang w:val="en-US" w:eastAsia="zh-CN"/>
          </w:rPr>
          <m:t>nT=</m:t>
        </m:r>
      </m:oMath>
      <w:r>
        <w:rPr>
          <w:rFonts w:hint="eastAsia" w:hAnsi="Cambria Math"/>
          <w:i w:val="0"/>
          <w:sz w:val="21"/>
          <w:szCs w:val="21"/>
          <w:lang w:val="en-US" w:eastAsia="zh-CN"/>
        </w:rPr>
        <w:t>0.49 nT. 磁场梯度选择1nT；</w:t>
      </w:r>
      <w:r>
        <w:rPr>
          <w:rFonts w:hint="eastAsia"/>
          <w:sz w:val="21"/>
          <w:szCs w:val="21"/>
        </w:rPr>
        <w:t>传感器噪声和非线性与表1中保持一致，同样将磁力仪旋转至预设的26点获取不同姿态下的磁强计读数。</w:t>
      </w:r>
    </w:p>
    <w:p w14:paraId="094CE142">
      <w:pPr>
        <w:keepNext/>
        <w:widowControl/>
        <w:kinsoku w:val="0"/>
        <w:autoSpaceDE w:val="0"/>
        <w:autoSpaceDN w:val="0"/>
        <w:adjustRightInd w:val="0"/>
        <w:snapToGrid w:val="0"/>
        <w:jc w:val="center"/>
        <w:textAlignment w:val="baseline"/>
        <w:rPr>
          <w:rFonts w:hint="eastAsia" w:ascii="宋体" w:hAnsi="宋体" w:cs="宋体"/>
          <w:snapToGrid w:val="0"/>
          <w:color w:val="000000"/>
          <w:kern w:val="0"/>
        </w:rPr>
      </w:pPr>
      <w:r>
        <w:rPr>
          <w:rFonts w:ascii="宋体" w:hAnsi="宋体" w:cs="宋体"/>
          <w:color w:val="000000"/>
          <w:kern w:val="0"/>
        </w:rPr>
        <w:drawing>
          <wp:inline distT="0" distB="0" distL="114300" distR="114300">
            <wp:extent cx="1574165" cy="1820545"/>
            <wp:effectExtent l="0" t="0" r="635" b="8255"/>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0"/>
                    <a:stretch>
                      <a:fillRect/>
                    </a:stretch>
                  </pic:blipFill>
                  <pic:spPr>
                    <a:xfrm>
                      <a:off x="0" y="0"/>
                      <a:ext cx="1574165" cy="1820545"/>
                    </a:xfrm>
                    <a:prstGeom prst="rect">
                      <a:avLst/>
                    </a:prstGeom>
                    <a:noFill/>
                    <a:ln>
                      <a:noFill/>
                    </a:ln>
                  </pic:spPr>
                </pic:pic>
              </a:graphicData>
            </a:graphic>
          </wp:inline>
        </w:drawing>
      </w:r>
      <w:r>
        <w:rPr>
          <w:rFonts w:hint="eastAsia" w:ascii="宋体" w:hAnsi="宋体" w:cs="宋体"/>
          <w:snapToGrid w:val="0"/>
          <w:color w:val="000000"/>
          <w:kern w:val="0"/>
        </w:rPr>
        <w:t xml:space="preserve">   </w:t>
      </w:r>
      <w:r>
        <w:rPr>
          <w:rFonts w:ascii="宋体" w:hAnsi="宋体" w:cs="宋体"/>
          <w:color w:val="000000"/>
          <w:kern w:val="0"/>
        </w:rPr>
        <w:drawing>
          <wp:inline distT="0" distB="0" distL="114300" distR="114300">
            <wp:extent cx="2367915" cy="1868805"/>
            <wp:effectExtent l="0" t="0" r="6985" b="10795"/>
            <wp:docPr id="6" name="图片 6" descr="第四个测试点磁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第四个测试点磁场"/>
                    <pic:cNvPicPr>
                      <a:picLocks noChangeAspect="1"/>
                    </pic:cNvPicPr>
                  </pic:nvPicPr>
                  <pic:blipFill>
                    <a:blip r:embed="rId11"/>
                    <a:stretch>
                      <a:fillRect/>
                    </a:stretch>
                  </pic:blipFill>
                  <pic:spPr>
                    <a:xfrm>
                      <a:off x="0" y="0"/>
                      <a:ext cx="2367915" cy="1868805"/>
                    </a:xfrm>
                    <a:prstGeom prst="rect">
                      <a:avLst/>
                    </a:prstGeom>
                    <a:noFill/>
                    <a:ln>
                      <a:noFill/>
                    </a:ln>
                  </pic:spPr>
                </pic:pic>
              </a:graphicData>
            </a:graphic>
          </wp:inline>
        </w:drawing>
      </w:r>
    </w:p>
    <w:p w14:paraId="3830980A">
      <w:pPr>
        <w:tabs>
          <w:tab w:val="left" w:pos="397"/>
        </w:tabs>
        <w:ind w:firstLine="1540" w:firstLineChars="700"/>
        <w:jc w:val="left"/>
        <w:rPr>
          <w:rFonts w:hint="eastAsia" w:ascii="宋体" w:hAnsi="宋体" w:cs="宋体"/>
          <w:snapToGrid w:val="0"/>
          <w:color w:val="000000"/>
          <w:spacing w:val="-2"/>
          <w:kern w:val="0"/>
          <w:sz w:val="22"/>
          <w:szCs w:val="22"/>
        </w:rPr>
      </w:pPr>
      <w:r>
        <w:rPr>
          <w:rFonts w:hint="eastAsia"/>
          <w:sz w:val="22"/>
          <w:szCs w:val="22"/>
        </w:rPr>
        <w:t xml:space="preserve">（a） </w:t>
      </w:r>
      <w:r>
        <w:rPr>
          <w:rFonts w:hint="eastAsia" w:ascii="宋体" w:hAnsi="宋体" w:cs="Arial"/>
          <w:snapToGrid w:val="0"/>
          <w:color w:val="000000"/>
          <w:spacing w:val="-1"/>
          <w:kern w:val="0"/>
          <w:sz w:val="22"/>
          <w:szCs w:val="22"/>
        </w:rPr>
        <w:t>测试点环境</w:t>
      </w:r>
      <w:r>
        <w:rPr>
          <w:sz w:val="22"/>
          <w:szCs w:val="22"/>
        </w:rPr>
        <w:t xml:space="preserve">             </w:t>
      </w:r>
      <w:r>
        <w:rPr>
          <w:rFonts w:hint="eastAsia"/>
          <w:sz w:val="22"/>
          <w:szCs w:val="22"/>
        </w:rPr>
        <w:t xml:space="preserve">     （</w:t>
      </w:r>
      <w:r>
        <w:rPr>
          <w:sz w:val="22"/>
          <w:szCs w:val="22"/>
        </w:rPr>
        <w:t>b</w:t>
      </w:r>
      <w:r>
        <w:rPr>
          <w:rFonts w:hint="eastAsia"/>
          <w:sz w:val="22"/>
          <w:szCs w:val="22"/>
        </w:rPr>
        <w:t xml:space="preserve">） </w:t>
      </w:r>
      <w:r>
        <w:rPr>
          <w:rFonts w:hint="eastAsia" w:ascii="宋体" w:hAnsi="宋体" w:cs="宋体"/>
          <w:snapToGrid w:val="0"/>
          <w:color w:val="000000"/>
          <w:spacing w:val="-2"/>
          <w:kern w:val="0"/>
          <w:sz w:val="22"/>
          <w:szCs w:val="22"/>
        </w:rPr>
        <w:t>背景磁场</w:t>
      </w:r>
    </w:p>
    <w:p w14:paraId="02787ECA">
      <w:pPr>
        <w:pStyle w:val="22"/>
      </w:pPr>
      <w:bookmarkStart w:id="1" w:name="_Toc224811236"/>
      <w:r>
        <w:rPr>
          <w:rFonts w:hint="eastAsia"/>
        </w:rPr>
        <w:t xml:space="preserve">图3　 </w:t>
      </w:r>
      <w:bookmarkEnd w:id="1"/>
      <w:r>
        <w:rPr>
          <w:rFonts w:hint="eastAsia"/>
          <w:spacing w:val="-2"/>
          <w:szCs w:val="22"/>
        </w:rPr>
        <w:t>野外实验环境及磁场变化</w:t>
      </w:r>
    </w:p>
    <w:p w14:paraId="04289A2D">
      <w:pPr>
        <w:keepNext/>
        <w:widowControl/>
        <w:kinsoku w:val="0"/>
        <w:autoSpaceDE w:val="0"/>
        <w:autoSpaceDN w:val="0"/>
        <w:adjustRightInd w:val="0"/>
        <w:snapToGrid w:val="0"/>
        <w:jc w:val="center"/>
        <w:textAlignment w:val="baseline"/>
        <w:rPr>
          <w:rFonts w:ascii="Arial" w:hAnsi="Arial" w:cs="Arial"/>
          <w:snapToGrid w:val="0"/>
          <w:color w:val="000000"/>
          <w:kern w:val="0"/>
          <w:sz w:val="21"/>
          <w:szCs w:val="21"/>
        </w:rPr>
      </w:pPr>
      <w:r>
        <w:rPr>
          <w:rFonts w:ascii="Arial" w:hAnsi="Arial" w:eastAsia="Arial" w:cs="Arial"/>
          <w:color w:val="000000"/>
          <w:kern w:val="0"/>
          <w:sz w:val="21"/>
          <w:szCs w:val="21"/>
          <w:lang w:eastAsia="en-US"/>
        </w:rPr>
        <w:drawing>
          <wp:inline distT="0" distB="0" distL="114300" distR="114300">
            <wp:extent cx="2013585" cy="1141095"/>
            <wp:effectExtent l="0" t="0" r="5715" b="1905"/>
            <wp:docPr id="7" name="图片 7" descr="311_lingmindu_di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11_lingmindu_di四"/>
                    <pic:cNvPicPr>
                      <a:picLocks noChangeAspect="1"/>
                    </pic:cNvPicPr>
                  </pic:nvPicPr>
                  <pic:blipFill>
                    <a:blip r:embed="rId12"/>
                    <a:stretch>
                      <a:fillRect/>
                    </a:stretch>
                  </pic:blipFill>
                  <pic:spPr>
                    <a:xfrm>
                      <a:off x="0" y="0"/>
                      <a:ext cx="2013585" cy="1141095"/>
                    </a:xfrm>
                    <a:prstGeom prst="rect">
                      <a:avLst/>
                    </a:prstGeom>
                    <a:noFill/>
                    <a:ln>
                      <a:noFill/>
                    </a:ln>
                  </pic:spPr>
                </pic:pic>
              </a:graphicData>
            </a:graphic>
          </wp:inline>
        </w:drawing>
      </w:r>
      <w:r>
        <w:rPr>
          <w:rFonts w:ascii="Arial" w:hAnsi="Arial" w:eastAsia="Arial" w:cs="Arial"/>
          <w:color w:val="000000"/>
          <w:kern w:val="0"/>
          <w:sz w:val="21"/>
          <w:szCs w:val="21"/>
          <w:lang w:eastAsia="en-US"/>
        </w:rPr>
        <w:drawing>
          <wp:inline distT="0" distB="0" distL="114300" distR="114300">
            <wp:extent cx="1768475" cy="1242695"/>
            <wp:effectExtent l="0" t="0" r="9525" b="1905"/>
            <wp:docPr id="8" name="图片 8" descr="311_feizhengjiao_第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11_feizhengjiao_第四"/>
                    <pic:cNvPicPr>
                      <a:picLocks noChangeAspect="1"/>
                    </pic:cNvPicPr>
                  </pic:nvPicPr>
                  <pic:blipFill>
                    <a:blip r:embed="rId13"/>
                    <a:stretch>
                      <a:fillRect/>
                    </a:stretch>
                  </pic:blipFill>
                  <pic:spPr>
                    <a:xfrm>
                      <a:off x="0" y="0"/>
                      <a:ext cx="1768475" cy="1242695"/>
                    </a:xfrm>
                    <a:prstGeom prst="rect">
                      <a:avLst/>
                    </a:prstGeom>
                    <a:noFill/>
                    <a:ln>
                      <a:noFill/>
                    </a:ln>
                  </pic:spPr>
                </pic:pic>
              </a:graphicData>
            </a:graphic>
          </wp:inline>
        </w:drawing>
      </w:r>
      <w:r>
        <w:rPr>
          <w:rFonts w:ascii="Arial" w:hAnsi="Arial" w:eastAsia="Arial" w:cs="Arial"/>
          <w:color w:val="000000"/>
          <w:kern w:val="0"/>
          <w:sz w:val="21"/>
          <w:szCs w:val="21"/>
          <w:lang w:eastAsia="en-US"/>
        </w:rPr>
        <w:drawing>
          <wp:inline distT="0" distB="0" distL="114300" distR="114300">
            <wp:extent cx="1481455" cy="1131570"/>
            <wp:effectExtent l="0" t="0" r="4445" b="11430"/>
            <wp:docPr id="9" name="图片 9" descr="311_lingpian_第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11_lingpian_第四"/>
                    <pic:cNvPicPr>
                      <a:picLocks noChangeAspect="1"/>
                    </pic:cNvPicPr>
                  </pic:nvPicPr>
                  <pic:blipFill>
                    <a:blip r:embed="rId14"/>
                    <a:stretch>
                      <a:fillRect/>
                    </a:stretch>
                  </pic:blipFill>
                  <pic:spPr>
                    <a:xfrm>
                      <a:off x="0" y="0"/>
                      <a:ext cx="1481455" cy="1131570"/>
                    </a:xfrm>
                    <a:prstGeom prst="rect">
                      <a:avLst/>
                    </a:prstGeom>
                    <a:noFill/>
                    <a:ln>
                      <a:noFill/>
                    </a:ln>
                  </pic:spPr>
                </pic:pic>
              </a:graphicData>
            </a:graphic>
          </wp:inline>
        </w:drawing>
      </w:r>
    </w:p>
    <w:p w14:paraId="2D23B8D0">
      <w:pPr>
        <w:tabs>
          <w:tab w:val="left" w:pos="397"/>
        </w:tabs>
        <w:jc w:val="left"/>
        <w:rPr>
          <w:rFonts w:hint="eastAsia" w:ascii="Arial" w:hAnsi="Arial" w:eastAsia="Arial" w:cs="Arial"/>
          <w:snapToGrid w:val="0"/>
          <w:color w:val="000000"/>
          <w:spacing w:val="-2"/>
          <w:kern w:val="0"/>
          <w:sz w:val="18"/>
          <w:szCs w:val="18"/>
        </w:rPr>
      </w:pPr>
      <w:r>
        <w:rPr>
          <w:rFonts w:hint="eastAsia"/>
          <w:sz w:val="22"/>
          <w:szCs w:val="22"/>
        </w:rPr>
        <w:t>（a） 灵敏度拟合结果      （b） 非正交度拟合结果      （c） 零位拟合结果</w:t>
      </w:r>
    </w:p>
    <w:p w14:paraId="6C93376A">
      <w:pPr>
        <w:pStyle w:val="22"/>
      </w:pPr>
      <w:bookmarkStart w:id="2" w:name="_Toc224811237"/>
      <w:r>
        <w:rPr>
          <w:rFonts w:hint="eastAsia"/>
        </w:rPr>
        <w:t>图</w:t>
      </w:r>
      <w:r>
        <w:fldChar w:fldCharType="begin"/>
      </w:r>
      <w:r>
        <w:instrText xml:space="preserve"> </w:instrText>
      </w:r>
      <w:r>
        <w:rPr>
          <w:rFonts w:hint="eastAsia"/>
        </w:rPr>
        <w:instrText xml:space="preserve">STYLEREF 1 \s</w:instrText>
      </w:r>
      <w:r>
        <w:instrText xml:space="preserve"> </w:instrText>
      </w:r>
      <w:r>
        <w:fldChar w:fldCharType="separate"/>
      </w:r>
      <w:r>
        <w:t>4</w:t>
      </w:r>
      <w:r>
        <w:fldChar w:fldCharType="end"/>
      </w:r>
      <w:r>
        <w:rPr>
          <w:rFonts w:hint="eastAsia"/>
        </w:rPr>
        <w:t xml:space="preserve">　 </w:t>
      </w:r>
      <w:r>
        <w:rPr>
          <w:rFonts w:hint="eastAsia"/>
          <w:spacing w:val="-2"/>
          <w:szCs w:val="22"/>
        </w:rPr>
        <w:t>野外重复实验结果</w:t>
      </w:r>
      <w:bookmarkEnd w:id="2"/>
    </w:p>
    <w:p w14:paraId="3E80949A">
      <w:pPr>
        <w:spacing w:line="400" w:lineRule="exact"/>
        <w:ind w:firstLine="420" w:firstLineChars="200"/>
        <w:rPr>
          <w:sz w:val="21"/>
          <w:szCs w:val="21"/>
        </w:rPr>
      </w:pPr>
      <w:r>
        <w:rPr>
          <w:rFonts w:hint="eastAsia"/>
          <w:sz w:val="21"/>
          <w:szCs w:val="21"/>
        </w:rPr>
        <w:t>进行5次独立重复实验，椭球拟合结果如图4。同样以Z轴，YZ夹角为例，椭球拟合法在野外磁环境下评估参数的不确定度见表2。根据</w:t>
      </w:r>
      <w:r>
        <w:rPr>
          <w:rFonts w:hint="eastAsia" w:ascii="宋体" w:hAnsi="宋体"/>
          <w:sz w:val="21"/>
          <w:szCs w:val="21"/>
        </w:rPr>
        <w:t>《</w:t>
      </w:r>
      <w:r>
        <w:rPr>
          <w:rFonts w:hint="eastAsia" w:ascii="宋体" w:hAnsi="宋体"/>
          <w:bCs/>
          <w:sz w:val="21"/>
          <w:szCs w:val="21"/>
        </w:rPr>
        <w:t>基于椭球拟合的矢量磁强计校准规范</w:t>
      </w:r>
      <w:r>
        <w:rPr>
          <w:rFonts w:hint="eastAsia" w:ascii="宋体" w:hAnsi="宋体"/>
          <w:sz w:val="21"/>
          <w:szCs w:val="21"/>
        </w:rPr>
        <w:t>》查表得到各不确定分量的蒙特卡洛评估结果</w:t>
      </w:r>
      <w:r>
        <w:rPr>
          <w:rFonts w:hint="eastAsia"/>
          <w:sz w:val="21"/>
          <w:szCs w:val="21"/>
        </w:rPr>
        <w:t>并进行合成：</w:t>
      </w:r>
    </w:p>
    <w:p w14:paraId="0F42EF60">
      <w:pPr>
        <w:spacing w:before="120" w:after="120" w:line="360" w:lineRule="auto"/>
        <w:jc w:val="center"/>
      </w:pPr>
      <w:r>
        <w:rPr>
          <w:rFonts w:hint="eastAsia"/>
        </w:rPr>
        <w:t>表2野外实测数据的不确定度评估</w:t>
      </w:r>
    </w:p>
    <w:tbl>
      <w:tblPr>
        <w:tblStyle w:val="7"/>
        <w:tblW w:w="7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4"/>
        <w:gridCol w:w="1502"/>
        <w:gridCol w:w="1502"/>
        <w:gridCol w:w="1503"/>
      </w:tblGrid>
      <w:tr w14:paraId="6C0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restart"/>
            <w:noWrap w:val="0"/>
            <w:vAlign w:val="center"/>
          </w:tcPr>
          <w:p w14:paraId="6D5F7765">
            <w:pPr>
              <w:jc w:val="center"/>
              <w:rPr>
                <w:rFonts w:hint="eastAsia"/>
                <w:sz w:val="21"/>
                <w:szCs w:val="21"/>
              </w:rPr>
            </w:pPr>
            <w:r>
              <w:rPr>
                <w:rFonts w:hint="eastAsia"/>
                <w:sz w:val="21"/>
                <w:szCs w:val="21"/>
              </w:rPr>
              <w:t>不确定度来源</w:t>
            </w:r>
          </w:p>
        </w:tc>
        <w:tc>
          <w:tcPr>
            <w:tcW w:w="1504" w:type="dxa"/>
            <w:vMerge w:val="restart"/>
            <w:noWrap w:val="0"/>
            <w:vAlign w:val="center"/>
          </w:tcPr>
          <w:p w14:paraId="50574109">
            <w:pPr>
              <w:jc w:val="center"/>
              <w:rPr>
                <w:rFonts w:hint="eastAsia"/>
                <w:sz w:val="21"/>
                <w:szCs w:val="21"/>
              </w:rPr>
            </w:pPr>
            <w:r>
              <w:rPr>
                <w:rFonts w:hint="eastAsia"/>
                <w:sz w:val="21"/>
                <w:szCs w:val="21"/>
              </w:rPr>
              <w:t>环境变量</w:t>
            </w:r>
          </w:p>
        </w:tc>
        <w:tc>
          <w:tcPr>
            <w:tcW w:w="4507" w:type="dxa"/>
            <w:gridSpan w:val="3"/>
            <w:noWrap w:val="0"/>
            <w:vAlign w:val="center"/>
          </w:tcPr>
          <w:p w14:paraId="7CE196BB">
            <w:pPr>
              <w:jc w:val="center"/>
              <w:rPr>
                <w:sz w:val="21"/>
                <w:szCs w:val="21"/>
              </w:rPr>
            </w:pPr>
            <w:r>
              <w:rPr>
                <w:rFonts w:hint="eastAsia"/>
                <w:sz w:val="21"/>
                <w:szCs w:val="21"/>
              </w:rPr>
              <w:t>计量项目</w:t>
            </w:r>
          </w:p>
        </w:tc>
      </w:tr>
      <w:tr w14:paraId="3A86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continue"/>
            <w:noWrap w:val="0"/>
            <w:vAlign w:val="center"/>
          </w:tcPr>
          <w:p w14:paraId="4D61936B">
            <w:pPr>
              <w:jc w:val="center"/>
              <w:rPr>
                <w:rFonts w:hint="eastAsia"/>
                <w:sz w:val="21"/>
                <w:szCs w:val="21"/>
              </w:rPr>
            </w:pPr>
          </w:p>
        </w:tc>
        <w:tc>
          <w:tcPr>
            <w:tcW w:w="1504" w:type="dxa"/>
            <w:vMerge w:val="continue"/>
            <w:noWrap w:val="0"/>
            <w:vAlign w:val="center"/>
          </w:tcPr>
          <w:p w14:paraId="613D0847">
            <w:pPr>
              <w:jc w:val="center"/>
              <w:rPr>
                <w:rFonts w:hint="eastAsia"/>
                <w:sz w:val="21"/>
                <w:szCs w:val="21"/>
              </w:rPr>
            </w:pPr>
          </w:p>
        </w:tc>
        <w:tc>
          <w:tcPr>
            <w:tcW w:w="1502" w:type="dxa"/>
            <w:noWrap w:val="0"/>
            <w:vAlign w:val="center"/>
          </w:tcPr>
          <w:p w14:paraId="0894BC44">
            <w:pPr>
              <w:jc w:val="center"/>
              <w:rPr>
                <w:sz w:val="21"/>
                <w:szCs w:val="21"/>
                <w:highlight w:val="yellow"/>
              </w:rPr>
            </w:pPr>
            <w:r>
              <w:rPr>
                <w:rFonts w:hint="eastAsia"/>
                <w:sz w:val="21"/>
                <w:szCs w:val="21"/>
              </w:rPr>
              <w:t>响应因子u</w:t>
            </w:r>
            <w:r>
              <w:rPr>
                <w:rFonts w:hint="eastAsia"/>
                <w:sz w:val="21"/>
                <w:szCs w:val="21"/>
                <w:vertAlign w:val="subscript"/>
              </w:rPr>
              <w:t>7k</w:t>
            </w:r>
            <w:r>
              <w:rPr>
                <w:rFonts w:hint="eastAsia"/>
                <w:sz w:val="21"/>
                <w:szCs w:val="21"/>
              </w:rPr>
              <w:t>（/nT）</w:t>
            </w:r>
          </w:p>
        </w:tc>
        <w:tc>
          <w:tcPr>
            <w:tcW w:w="1502" w:type="dxa"/>
            <w:noWrap w:val="0"/>
            <w:vAlign w:val="center"/>
          </w:tcPr>
          <w:p w14:paraId="666C3D84">
            <w:pPr>
              <w:jc w:val="center"/>
              <w:rPr>
                <w:sz w:val="21"/>
                <w:szCs w:val="21"/>
                <w:highlight w:val="yellow"/>
              </w:rPr>
            </w:pPr>
            <w:r>
              <w:rPr>
                <w:rFonts w:hint="eastAsia"/>
                <w:sz w:val="21"/>
                <w:szCs w:val="21"/>
              </w:rPr>
              <w:t>正交度u</w:t>
            </w:r>
            <w:r>
              <w:rPr>
                <w:rFonts w:hint="eastAsia"/>
                <w:sz w:val="21"/>
                <w:szCs w:val="21"/>
                <w:vertAlign w:val="subscript"/>
              </w:rPr>
              <w:t>7θ</w:t>
            </w:r>
            <w:r>
              <w:rPr>
                <w:rFonts w:hint="eastAsia"/>
                <w:sz w:val="21"/>
                <w:szCs w:val="21"/>
              </w:rPr>
              <w:t>（°）</w:t>
            </w:r>
          </w:p>
        </w:tc>
        <w:tc>
          <w:tcPr>
            <w:tcW w:w="1503" w:type="dxa"/>
            <w:noWrap w:val="0"/>
            <w:vAlign w:val="center"/>
          </w:tcPr>
          <w:p w14:paraId="1FC2D4C2">
            <w:pPr>
              <w:jc w:val="center"/>
              <w:rPr>
                <w:sz w:val="21"/>
                <w:szCs w:val="21"/>
                <w:highlight w:val="yellow"/>
              </w:rPr>
            </w:pPr>
            <w:r>
              <w:rPr>
                <w:rFonts w:hint="eastAsia"/>
                <w:sz w:val="21"/>
                <w:szCs w:val="21"/>
              </w:rPr>
              <w:t>零偏u</w:t>
            </w:r>
            <w:r>
              <w:rPr>
                <w:rFonts w:hint="eastAsia"/>
                <w:sz w:val="21"/>
                <w:szCs w:val="21"/>
                <w:vertAlign w:val="subscript"/>
              </w:rPr>
              <w:t>7B</w:t>
            </w:r>
            <w:r>
              <w:rPr>
                <w:rFonts w:hint="eastAsia"/>
                <w:sz w:val="21"/>
                <w:szCs w:val="21"/>
              </w:rPr>
              <w:t>（nT）</w:t>
            </w:r>
          </w:p>
        </w:tc>
      </w:tr>
      <w:tr w14:paraId="2B52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7DD1F03C">
            <w:pPr>
              <w:jc w:val="center"/>
              <w:rPr>
                <w:rFonts w:hint="eastAsia"/>
                <w:sz w:val="21"/>
                <w:szCs w:val="21"/>
                <w:highlight w:val="none"/>
              </w:rPr>
            </w:pPr>
            <w:r>
              <w:rPr>
                <w:rFonts w:hint="eastAsia"/>
                <w:sz w:val="21"/>
                <w:szCs w:val="21"/>
                <w:highlight w:val="none"/>
              </w:rPr>
              <w:t>采样点数</w:t>
            </w:r>
          </w:p>
        </w:tc>
        <w:tc>
          <w:tcPr>
            <w:tcW w:w="1504" w:type="dxa"/>
            <w:noWrap w:val="0"/>
            <w:vAlign w:val="center"/>
          </w:tcPr>
          <w:p w14:paraId="0CFA1E38">
            <w:pPr>
              <w:jc w:val="center"/>
              <w:rPr>
                <w:rFonts w:hint="eastAsia"/>
                <w:sz w:val="21"/>
                <w:szCs w:val="21"/>
                <w:highlight w:val="none"/>
              </w:rPr>
            </w:pPr>
            <w:r>
              <w:rPr>
                <w:rFonts w:hint="eastAsia"/>
                <w:sz w:val="21"/>
                <w:szCs w:val="21"/>
                <w:highlight w:val="none"/>
              </w:rPr>
              <w:t>26</w:t>
            </w:r>
          </w:p>
        </w:tc>
        <w:tc>
          <w:tcPr>
            <w:tcW w:w="1502" w:type="dxa"/>
            <w:noWrap w:val="0"/>
            <w:vAlign w:val="center"/>
          </w:tcPr>
          <w:p w14:paraId="3FFA43A8">
            <w:pPr>
              <w:jc w:val="center"/>
              <w:rPr>
                <w:sz w:val="21"/>
                <w:szCs w:val="21"/>
                <w:highlight w:val="none"/>
              </w:rPr>
            </w:pPr>
            <w:r>
              <w:rPr>
                <w:rFonts w:hint="eastAsia"/>
                <w:sz w:val="21"/>
                <w:szCs w:val="21"/>
                <w:highlight w:val="none"/>
              </w:rPr>
              <w:t>6.3</w:t>
            </w:r>
            <w:r>
              <w:rPr>
                <w:sz w:val="21"/>
                <w:szCs w:val="21"/>
                <w:highlight w:val="none"/>
              </w:rPr>
              <w:t>×10</w:t>
            </w:r>
            <w:r>
              <w:rPr>
                <w:sz w:val="21"/>
                <w:szCs w:val="21"/>
                <w:highlight w:val="none"/>
                <w:vertAlign w:val="superscript"/>
              </w:rPr>
              <w:t>-</w:t>
            </w:r>
            <w:r>
              <w:rPr>
                <w:rFonts w:hint="eastAsia"/>
                <w:sz w:val="21"/>
                <w:szCs w:val="21"/>
                <w:highlight w:val="none"/>
                <w:vertAlign w:val="superscript"/>
              </w:rPr>
              <w:t>6</w:t>
            </w:r>
          </w:p>
        </w:tc>
        <w:tc>
          <w:tcPr>
            <w:tcW w:w="1502" w:type="dxa"/>
            <w:noWrap w:val="0"/>
            <w:vAlign w:val="center"/>
          </w:tcPr>
          <w:p w14:paraId="5D406C29">
            <w:pPr>
              <w:jc w:val="center"/>
              <w:rPr>
                <w:sz w:val="21"/>
                <w:szCs w:val="21"/>
                <w:highlight w:val="none"/>
              </w:rPr>
            </w:pPr>
            <w:r>
              <w:rPr>
                <w:rFonts w:hint="eastAsia"/>
                <w:sz w:val="21"/>
                <w:szCs w:val="21"/>
                <w:highlight w:val="none"/>
              </w:rPr>
              <w:t>4.6</w:t>
            </w:r>
            <w:r>
              <w:rPr>
                <w:sz w:val="21"/>
                <w:szCs w:val="21"/>
                <w:highlight w:val="none"/>
              </w:rPr>
              <w:t>×10</w:t>
            </w:r>
            <w:r>
              <w:rPr>
                <w:sz w:val="21"/>
                <w:szCs w:val="21"/>
                <w:highlight w:val="none"/>
                <w:vertAlign w:val="superscript"/>
              </w:rPr>
              <w:t>-</w:t>
            </w:r>
            <w:r>
              <w:rPr>
                <w:rFonts w:hint="eastAsia"/>
                <w:sz w:val="21"/>
                <w:szCs w:val="21"/>
                <w:highlight w:val="none"/>
                <w:vertAlign w:val="superscript"/>
              </w:rPr>
              <w:t>4</w:t>
            </w:r>
          </w:p>
        </w:tc>
        <w:tc>
          <w:tcPr>
            <w:tcW w:w="1503" w:type="dxa"/>
            <w:noWrap w:val="0"/>
            <w:vAlign w:val="center"/>
          </w:tcPr>
          <w:p w14:paraId="6397A3EF">
            <w:pPr>
              <w:jc w:val="center"/>
              <w:rPr>
                <w:sz w:val="21"/>
                <w:szCs w:val="21"/>
                <w:highlight w:val="none"/>
              </w:rPr>
            </w:pPr>
            <w:r>
              <w:rPr>
                <w:rFonts w:hint="eastAsia"/>
                <w:sz w:val="21"/>
                <w:szCs w:val="21"/>
                <w:highlight w:val="none"/>
              </w:rPr>
              <w:t>0.19</w:t>
            </w:r>
          </w:p>
        </w:tc>
      </w:tr>
      <w:tr w14:paraId="7E57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2C007ADD">
            <w:pPr>
              <w:jc w:val="center"/>
              <w:rPr>
                <w:rFonts w:hint="eastAsia"/>
                <w:sz w:val="21"/>
                <w:szCs w:val="21"/>
                <w:highlight w:val="none"/>
              </w:rPr>
            </w:pPr>
            <w:r>
              <w:rPr>
                <w:rFonts w:hint="eastAsia"/>
                <w:sz w:val="21"/>
                <w:szCs w:val="21"/>
                <w:highlight w:val="none"/>
              </w:rPr>
              <w:t>磁场稳定性</w:t>
            </w:r>
          </w:p>
        </w:tc>
        <w:tc>
          <w:tcPr>
            <w:tcW w:w="1504" w:type="dxa"/>
            <w:noWrap w:val="0"/>
            <w:vAlign w:val="center"/>
          </w:tcPr>
          <w:p w14:paraId="68DC4D9B">
            <w:pPr>
              <w:jc w:val="center"/>
              <w:rPr>
                <w:rFonts w:hint="eastAsia"/>
                <w:sz w:val="21"/>
                <w:szCs w:val="21"/>
                <w:highlight w:val="none"/>
              </w:rPr>
            </w:pPr>
            <w:r>
              <w:rPr>
                <w:rFonts w:hint="eastAsia"/>
                <w:sz w:val="21"/>
                <w:szCs w:val="21"/>
                <w:highlight w:val="none"/>
                <w:lang w:val="en-US" w:eastAsia="zh-CN"/>
              </w:rPr>
              <w:t xml:space="preserve">0.48 </w:t>
            </w:r>
            <w:r>
              <w:rPr>
                <w:rFonts w:hint="eastAsia"/>
                <w:sz w:val="21"/>
                <w:szCs w:val="21"/>
                <w:highlight w:val="none"/>
              </w:rPr>
              <w:t>nT</w:t>
            </w:r>
          </w:p>
        </w:tc>
        <w:tc>
          <w:tcPr>
            <w:tcW w:w="1502" w:type="dxa"/>
            <w:noWrap w:val="0"/>
            <w:vAlign w:val="center"/>
          </w:tcPr>
          <w:p w14:paraId="628694B8">
            <w:pPr>
              <w:jc w:val="center"/>
              <w:rPr>
                <w:sz w:val="21"/>
                <w:szCs w:val="21"/>
                <w:highlight w:val="none"/>
              </w:rPr>
            </w:pPr>
            <w:r>
              <w:rPr>
                <w:rFonts w:hint="eastAsia"/>
                <w:sz w:val="21"/>
                <w:szCs w:val="21"/>
                <w:highlight w:val="none"/>
              </w:rPr>
              <w:t>1.3</w:t>
            </w:r>
            <w:r>
              <w:rPr>
                <w:sz w:val="21"/>
                <w:szCs w:val="21"/>
                <w:highlight w:val="none"/>
              </w:rPr>
              <w:t>×10</w:t>
            </w:r>
            <w:r>
              <w:rPr>
                <w:sz w:val="21"/>
                <w:szCs w:val="21"/>
                <w:highlight w:val="none"/>
                <w:vertAlign w:val="superscript"/>
              </w:rPr>
              <w:t>-</w:t>
            </w:r>
            <w:r>
              <w:rPr>
                <w:rFonts w:hint="eastAsia"/>
                <w:sz w:val="21"/>
                <w:szCs w:val="21"/>
                <w:highlight w:val="none"/>
                <w:vertAlign w:val="superscript"/>
              </w:rPr>
              <w:t>5</w:t>
            </w:r>
          </w:p>
        </w:tc>
        <w:tc>
          <w:tcPr>
            <w:tcW w:w="1502" w:type="dxa"/>
            <w:noWrap w:val="0"/>
            <w:vAlign w:val="center"/>
          </w:tcPr>
          <w:p w14:paraId="5BD1E2A6">
            <w:pPr>
              <w:jc w:val="center"/>
              <w:rPr>
                <w:sz w:val="21"/>
                <w:szCs w:val="21"/>
                <w:highlight w:val="none"/>
              </w:rPr>
            </w:pPr>
            <w:r>
              <w:rPr>
                <w:rFonts w:hint="eastAsia"/>
                <w:sz w:val="21"/>
                <w:szCs w:val="21"/>
                <w:highlight w:val="none"/>
              </w:rPr>
              <w:t>1.2</w:t>
            </w:r>
            <w:r>
              <w:rPr>
                <w:sz w:val="21"/>
                <w:szCs w:val="21"/>
                <w:highlight w:val="none"/>
              </w:rPr>
              <w:t>×10</w:t>
            </w:r>
            <w:r>
              <w:rPr>
                <w:sz w:val="21"/>
                <w:szCs w:val="21"/>
                <w:highlight w:val="none"/>
                <w:vertAlign w:val="superscript"/>
              </w:rPr>
              <w:t>-</w:t>
            </w:r>
            <w:r>
              <w:rPr>
                <w:rFonts w:hint="eastAsia"/>
                <w:sz w:val="21"/>
                <w:szCs w:val="21"/>
                <w:highlight w:val="none"/>
                <w:vertAlign w:val="superscript"/>
              </w:rPr>
              <w:t>3</w:t>
            </w:r>
          </w:p>
        </w:tc>
        <w:tc>
          <w:tcPr>
            <w:tcW w:w="1503" w:type="dxa"/>
            <w:noWrap w:val="0"/>
            <w:vAlign w:val="center"/>
          </w:tcPr>
          <w:p w14:paraId="0BDFAA6E">
            <w:pPr>
              <w:jc w:val="center"/>
              <w:rPr>
                <w:sz w:val="21"/>
                <w:szCs w:val="21"/>
                <w:highlight w:val="none"/>
              </w:rPr>
            </w:pPr>
            <w:r>
              <w:rPr>
                <w:rFonts w:hint="eastAsia"/>
                <w:sz w:val="21"/>
                <w:szCs w:val="21"/>
                <w:highlight w:val="none"/>
              </w:rPr>
              <w:t>0.48</w:t>
            </w:r>
          </w:p>
        </w:tc>
      </w:tr>
      <w:tr w14:paraId="4959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119F8A2A">
            <w:pPr>
              <w:jc w:val="center"/>
              <w:rPr>
                <w:sz w:val="21"/>
                <w:szCs w:val="21"/>
                <w:highlight w:val="none"/>
              </w:rPr>
            </w:pPr>
            <w:r>
              <w:rPr>
                <w:rFonts w:hint="eastAsia"/>
                <w:sz w:val="21"/>
                <w:szCs w:val="21"/>
                <w:highlight w:val="none"/>
              </w:rPr>
              <w:t>传感器非线性</w:t>
            </w:r>
          </w:p>
        </w:tc>
        <w:tc>
          <w:tcPr>
            <w:tcW w:w="1504" w:type="dxa"/>
            <w:noWrap w:val="0"/>
            <w:vAlign w:val="center"/>
          </w:tcPr>
          <w:p w14:paraId="479A6A90">
            <w:pPr>
              <w:jc w:val="center"/>
              <w:rPr>
                <w:sz w:val="21"/>
                <w:szCs w:val="21"/>
                <w:highlight w:val="none"/>
              </w:rPr>
            </w:pPr>
            <w:r>
              <w:rPr>
                <w:rFonts w:hint="eastAsia"/>
                <w:sz w:val="21"/>
                <w:szCs w:val="21"/>
                <w:highlight w:val="none"/>
              </w:rPr>
              <w:t>1</w:t>
            </w:r>
            <w:r>
              <w:rPr>
                <w:rFonts w:hint="eastAsia"/>
                <w:sz w:val="21"/>
                <w:szCs w:val="21"/>
                <w:highlight w:val="none"/>
                <w:lang w:val="en-US" w:eastAsia="zh-CN"/>
              </w:rPr>
              <w:t xml:space="preserve"> </w:t>
            </w:r>
            <w:r>
              <w:rPr>
                <w:rFonts w:hint="eastAsia"/>
                <w:sz w:val="21"/>
                <w:szCs w:val="21"/>
                <w:highlight w:val="none"/>
              </w:rPr>
              <w:t>nT</w:t>
            </w:r>
          </w:p>
        </w:tc>
        <w:tc>
          <w:tcPr>
            <w:tcW w:w="1502" w:type="dxa"/>
            <w:noWrap w:val="0"/>
            <w:vAlign w:val="center"/>
          </w:tcPr>
          <w:p w14:paraId="43D458CB">
            <w:pPr>
              <w:jc w:val="center"/>
              <w:rPr>
                <w:sz w:val="21"/>
                <w:szCs w:val="21"/>
                <w:highlight w:val="none"/>
              </w:rPr>
            </w:pPr>
            <w:r>
              <w:rPr>
                <w:rFonts w:hint="eastAsia"/>
                <w:sz w:val="21"/>
                <w:szCs w:val="21"/>
                <w:highlight w:val="none"/>
              </w:rPr>
              <w:t>5.0</w:t>
            </w:r>
            <w:r>
              <w:rPr>
                <w:sz w:val="21"/>
                <w:szCs w:val="21"/>
                <w:highlight w:val="none"/>
              </w:rPr>
              <w:t>×10</w:t>
            </w:r>
            <w:r>
              <w:rPr>
                <w:sz w:val="21"/>
                <w:szCs w:val="21"/>
                <w:highlight w:val="none"/>
                <w:vertAlign w:val="superscript"/>
              </w:rPr>
              <w:t>-</w:t>
            </w:r>
            <w:r>
              <w:rPr>
                <w:rFonts w:hint="eastAsia"/>
                <w:sz w:val="21"/>
                <w:szCs w:val="21"/>
                <w:highlight w:val="none"/>
                <w:vertAlign w:val="superscript"/>
              </w:rPr>
              <w:t>6</w:t>
            </w:r>
          </w:p>
        </w:tc>
        <w:tc>
          <w:tcPr>
            <w:tcW w:w="1502" w:type="dxa"/>
            <w:noWrap w:val="0"/>
            <w:vAlign w:val="center"/>
          </w:tcPr>
          <w:p w14:paraId="26B25E43">
            <w:pPr>
              <w:jc w:val="center"/>
              <w:rPr>
                <w:sz w:val="21"/>
                <w:szCs w:val="21"/>
                <w:highlight w:val="none"/>
              </w:rPr>
            </w:pPr>
            <w:r>
              <w:rPr>
                <w:rFonts w:hint="eastAsia"/>
                <w:sz w:val="21"/>
                <w:szCs w:val="21"/>
                <w:highlight w:val="none"/>
              </w:rPr>
              <w:t>4.3</w:t>
            </w:r>
            <w:r>
              <w:rPr>
                <w:sz w:val="21"/>
                <w:szCs w:val="21"/>
                <w:highlight w:val="none"/>
              </w:rPr>
              <w:t>×10</w:t>
            </w:r>
            <w:r>
              <w:rPr>
                <w:sz w:val="21"/>
                <w:szCs w:val="21"/>
                <w:highlight w:val="none"/>
                <w:vertAlign w:val="superscript"/>
              </w:rPr>
              <w:t>-</w:t>
            </w:r>
            <w:r>
              <w:rPr>
                <w:rFonts w:hint="eastAsia"/>
                <w:sz w:val="21"/>
                <w:szCs w:val="21"/>
                <w:highlight w:val="none"/>
                <w:vertAlign w:val="superscript"/>
              </w:rPr>
              <w:t>4</w:t>
            </w:r>
          </w:p>
        </w:tc>
        <w:tc>
          <w:tcPr>
            <w:tcW w:w="1503" w:type="dxa"/>
            <w:noWrap w:val="0"/>
            <w:vAlign w:val="center"/>
          </w:tcPr>
          <w:p w14:paraId="23AB8968">
            <w:pPr>
              <w:jc w:val="center"/>
              <w:rPr>
                <w:sz w:val="21"/>
                <w:szCs w:val="21"/>
                <w:highlight w:val="none"/>
              </w:rPr>
            </w:pPr>
            <w:r>
              <w:rPr>
                <w:rFonts w:hint="eastAsia"/>
                <w:sz w:val="21"/>
                <w:szCs w:val="21"/>
                <w:highlight w:val="none"/>
              </w:rPr>
              <w:t>0.18</w:t>
            </w:r>
          </w:p>
        </w:tc>
      </w:tr>
      <w:tr w14:paraId="66F7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6A2407CC">
            <w:pPr>
              <w:jc w:val="center"/>
              <w:rPr>
                <w:sz w:val="21"/>
                <w:szCs w:val="21"/>
              </w:rPr>
            </w:pPr>
            <w:r>
              <w:rPr>
                <w:rFonts w:hint="eastAsia"/>
                <w:sz w:val="21"/>
                <w:szCs w:val="21"/>
              </w:rPr>
              <w:t>传感器噪声</w:t>
            </w:r>
          </w:p>
        </w:tc>
        <w:tc>
          <w:tcPr>
            <w:tcW w:w="1504" w:type="dxa"/>
            <w:noWrap w:val="0"/>
            <w:vAlign w:val="center"/>
          </w:tcPr>
          <w:p w14:paraId="453C42B8">
            <w:pPr>
              <w:jc w:val="center"/>
              <w:rPr>
                <w:sz w:val="21"/>
                <w:szCs w:val="21"/>
              </w:rPr>
            </w:pPr>
            <w:r>
              <w:rPr>
                <w:rFonts w:hint="eastAsia"/>
                <w:sz w:val="21"/>
                <w:szCs w:val="21"/>
              </w:rPr>
              <w:t>0.1</w:t>
            </w:r>
            <w:r>
              <w:rPr>
                <w:rFonts w:hint="eastAsia"/>
                <w:sz w:val="21"/>
                <w:szCs w:val="21"/>
                <w:lang w:val="en-US" w:eastAsia="zh-CN"/>
              </w:rPr>
              <w:t xml:space="preserve"> </w:t>
            </w:r>
            <w:r>
              <w:rPr>
                <w:rFonts w:hint="eastAsia"/>
                <w:sz w:val="21"/>
                <w:szCs w:val="21"/>
              </w:rPr>
              <w:t>nT</w:t>
            </w:r>
          </w:p>
        </w:tc>
        <w:tc>
          <w:tcPr>
            <w:tcW w:w="1502" w:type="dxa"/>
            <w:noWrap w:val="0"/>
            <w:vAlign w:val="center"/>
          </w:tcPr>
          <w:p w14:paraId="4F188BE5">
            <w:pPr>
              <w:jc w:val="center"/>
              <w:rPr>
                <w:sz w:val="21"/>
                <w:szCs w:val="21"/>
              </w:rPr>
            </w:pPr>
            <w:r>
              <w:rPr>
                <w:rFonts w:hint="eastAsia"/>
                <w:sz w:val="21"/>
                <w:szCs w:val="21"/>
              </w:rPr>
              <w:t>4.6</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7717404A">
            <w:pPr>
              <w:jc w:val="center"/>
              <w:rPr>
                <w:sz w:val="21"/>
                <w:szCs w:val="21"/>
              </w:rPr>
            </w:pPr>
            <w:r>
              <w:rPr>
                <w:rFonts w:hint="eastAsia"/>
                <w:sz w:val="21"/>
                <w:szCs w:val="21"/>
              </w:rPr>
              <w:t>4.1</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3B293670">
            <w:pPr>
              <w:jc w:val="center"/>
              <w:rPr>
                <w:sz w:val="21"/>
                <w:szCs w:val="21"/>
              </w:rPr>
            </w:pPr>
            <w:r>
              <w:rPr>
                <w:rFonts w:hint="eastAsia"/>
                <w:sz w:val="21"/>
                <w:szCs w:val="21"/>
              </w:rPr>
              <w:t>0.16</w:t>
            </w:r>
          </w:p>
        </w:tc>
      </w:tr>
      <w:tr w14:paraId="5ECB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69FEE67F">
            <w:pPr>
              <w:jc w:val="center"/>
              <w:rPr>
                <w:sz w:val="21"/>
                <w:szCs w:val="21"/>
              </w:rPr>
            </w:pPr>
            <w:r>
              <w:rPr>
                <w:rFonts w:hint="eastAsia"/>
                <w:sz w:val="21"/>
                <w:szCs w:val="21"/>
              </w:rPr>
              <w:t>磁场梯度</w:t>
            </w:r>
          </w:p>
        </w:tc>
        <w:tc>
          <w:tcPr>
            <w:tcW w:w="1504" w:type="dxa"/>
            <w:noWrap w:val="0"/>
            <w:vAlign w:val="center"/>
          </w:tcPr>
          <w:p w14:paraId="79960944">
            <w:pPr>
              <w:jc w:val="center"/>
              <w:rPr>
                <w:sz w:val="21"/>
                <w:szCs w:val="21"/>
              </w:rPr>
            </w:pPr>
            <w:r>
              <w:rPr>
                <w:rFonts w:hint="eastAsia"/>
                <w:sz w:val="21"/>
                <w:szCs w:val="21"/>
              </w:rPr>
              <w:t>1</w:t>
            </w:r>
            <w:r>
              <w:rPr>
                <w:rFonts w:hint="eastAsia"/>
                <w:sz w:val="21"/>
                <w:szCs w:val="21"/>
                <w:lang w:val="en-US" w:eastAsia="zh-CN"/>
              </w:rPr>
              <w:t xml:space="preserve"> </w:t>
            </w:r>
            <w:r>
              <w:rPr>
                <w:rFonts w:hint="eastAsia"/>
                <w:sz w:val="21"/>
                <w:szCs w:val="21"/>
              </w:rPr>
              <w:t>nT</w:t>
            </w:r>
          </w:p>
        </w:tc>
        <w:tc>
          <w:tcPr>
            <w:tcW w:w="1502" w:type="dxa"/>
            <w:noWrap w:val="0"/>
            <w:vAlign w:val="center"/>
          </w:tcPr>
          <w:p w14:paraId="7CCA3C58">
            <w:pPr>
              <w:jc w:val="center"/>
              <w:rPr>
                <w:sz w:val="21"/>
                <w:szCs w:val="21"/>
              </w:rPr>
            </w:pPr>
            <w:r>
              <w:rPr>
                <w:rFonts w:hint="eastAsia"/>
                <w:szCs w:val="21"/>
              </w:rPr>
              <w:t>6.7</w:t>
            </w:r>
            <w:r>
              <w:rPr>
                <w:szCs w:val="21"/>
              </w:rPr>
              <w:t>×10</w:t>
            </w:r>
            <w:r>
              <w:rPr>
                <w:szCs w:val="21"/>
                <w:vertAlign w:val="superscript"/>
              </w:rPr>
              <w:t>-</w:t>
            </w:r>
            <w:r>
              <w:rPr>
                <w:rFonts w:hint="eastAsia"/>
                <w:szCs w:val="21"/>
                <w:vertAlign w:val="superscript"/>
              </w:rPr>
              <w:t>6</w:t>
            </w:r>
          </w:p>
        </w:tc>
        <w:tc>
          <w:tcPr>
            <w:tcW w:w="1502" w:type="dxa"/>
            <w:noWrap w:val="0"/>
            <w:vAlign w:val="center"/>
          </w:tcPr>
          <w:p w14:paraId="36CCD61C">
            <w:pPr>
              <w:jc w:val="center"/>
              <w:rPr>
                <w:sz w:val="21"/>
                <w:szCs w:val="21"/>
              </w:rPr>
            </w:pPr>
            <w:r>
              <w:rPr>
                <w:rFonts w:hint="eastAsia"/>
                <w:sz w:val="21"/>
                <w:szCs w:val="21"/>
              </w:rPr>
              <w:t>5.8</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583099D2">
            <w:pPr>
              <w:jc w:val="center"/>
              <w:rPr>
                <w:sz w:val="21"/>
                <w:szCs w:val="21"/>
              </w:rPr>
            </w:pPr>
            <w:r>
              <w:rPr>
                <w:rFonts w:hint="eastAsia"/>
                <w:szCs w:val="21"/>
              </w:rPr>
              <w:t>0.23</w:t>
            </w:r>
          </w:p>
        </w:tc>
      </w:tr>
      <w:tr w14:paraId="56B7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4" w:type="dxa"/>
            <w:noWrap w:val="0"/>
            <w:vAlign w:val="center"/>
          </w:tcPr>
          <w:p w14:paraId="29AD7057">
            <w:pPr>
              <w:jc w:val="center"/>
              <w:rPr>
                <w:rFonts w:hint="eastAsia" w:eastAsia="宋体"/>
                <w:sz w:val="21"/>
                <w:szCs w:val="21"/>
                <w:highlight w:val="none"/>
                <w:lang w:val="en-US" w:eastAsia="zh-CN"/>
              </w:rPr>
            </w:pPr>
            <w:r>
              <w:rPr>
                <w:rFonts w:hint="eastAsia"/>
                <w:sz w:val="21"/>
                <w:szCs w:val="21"/>
                <w:highlight w:val="none"/>
              </w:rPr>
              <w:t>磁场</w:t>
            </w:r>
            <w:r>
              <w:rPr>
                <w:rFonts w:hint="eastAsia"/>
                <w:sz w:val="21"/>
                <w:szCs w:val="21"/>
                <w:highlight w:val="none"/>
                <w:lang w:val="en-US" w:eastAsia="zh-CN"/>
              </w:rPr>
              <w:t>不确定度</w:t>
            </w:r>
          </w:p>
        </w:tc>
        <w:tc>
          <w:tcPr>
            <w:tcW w:w="1504" w:type="dxa"/>
            <w:noWrap w:val="0"/>
            <w:vAlign w:val="center"/>
          </w:tcPr>
          <w:p w14:paraId="34459534">
            <w:pPr>
              <w:jc w:val="center"/>
              <w:rPr>
                <w:sz w:val="21"/>
                <w:szCs w:val="21"/>
                <w:highlight w:val="none"/>
              </w:rPr>
            </w:pPr>
            <w:r>
              <w:rPr>
                <w:rFonts w:hint="eastAsia"/>
                <w:sz w:val="21"/>
                <w:szCs w:val="21"/>
                <w:highlight w:val="none"/>
                <w:lang w:val="en-US" w:eastAsia="zh-CN"/>
              </w:rPr>
              <w:t xml:space="preserve">0.49 </w:t>
            </w:r>
            <w:r>
              <w:rPr>
                <w:rFonts w:hint="eastAsia"/>
                <w:sz w:val="21"/>
                <w:szCs w:val="21"/>
                <w:highlight w:val="none"/>
              </w:rPr>
              <w:t>nT</w:t>
            </w:r>
          </w:p>
        </w:tc>
        <w:tc>
          <w:tcPr>
            <w:tcW w:w="1502" w:type="dxa"/>
            <w:noWrap w:val="0"/>
            <w:vAlign w:val="center"/>
          </w:tcPr>
          <w:p w14:paraId="5A0A5494">
            <w:pPr>
              <w:jc w:val="center"/>
              <w:rPr>
                <w:sz w:val="21"/>
                <w:szCs w:val="21"/>
                <w:highlight w:val="none"/>
              </w:rPr>
            </w:pPr>
            <w:r>
              <w:rPr>
                <w:rFonts w:hint="eastAsia"/>
                <w:sz w:val="21"/>
                <w:szCs w:val="21"/>
                <w:highlight w:val="none"/>
              </w:rPr>
              <w:t>2.1</w:t>
            </w:r>
            <w:r>
              <w:rPr>
                <w:sz w:val="21"/>
                <w:szCs w:val="21"/>
                <w:highlight w:val="none"/>
              </w:rPr>
              <w:t>×10</w:t>
            </w:r>
            <w:r>
              <w:rPr>
                <w:sz w:val="21"/>
                <w:szCs w:val="21"/>
                <w:highlight w:val="none"/>
                <w:vertAlign w:val="superscript"/>
              </w:rPr>
              <w:t>-</w:t>
            </w:r>
            <w:r>
              <w:rPr>
                <w:rFonts w:hint="eastAsia"/>
                <w:sz w:val="21"/>
                <w:szCs w:val="21"/>
                <w:highlight w:val="none"/>
                <w:vertAlign w:val="superscript"/>
              </w:rPr>
              <w:t>5</w:t>
            </w:r>
          </w:p>
        </w:tc>
        <w:tc>
          <w:tcPr>
            <w:tcW w:w="1502" w:type="dxa"/>
            <w:noWrap w:val="0"/>
            <w:vAlign w:val="center"/>
          </w:tcPr>
          <w:p w14:paraId="3329AD1D">
            <w:pPr>
              <w:jc w:val="center"/>
              <w:rPr>
                <w:sz w:val="21"/>
                <w:szCs w:val="21"/>
                <w:highlight w:val="none"/>
              </w:rPr>
            </w:pPr>
            <w:r>
              <w:rPr>
                <w:rFonts w:hint="eastAsia"/>
                <w:sz w:val="21"/>
                <w:szCs w:val="21"/>
                <w:highlight w:val="none"/>
              </w:rPr>
              <w:t>4.0</w:t>
            </w:r>
            <w:r>
              <w:rPr>
                <w:sz w:val="21"/>
                <w:szCs w:val="21"/>
                <w:highlight w:val="none"/>
              </w:rPr>
              <w:t>×10</w:t>
            </w:r>
            <w:r>
              <w:rPr>
                <w:sz w:val="21"/>
                <w:szCs w:val="21"/>
                <w:highlight w:val="none"/>
                <w:vertAlign w:val="superscript"/>
              </w:rPr>
              <w:t>-</w:t>
            </w:r>
            <w:r>
              <w:rPr>
                <w:rFonts w:hint="eastAsia"/>
                <w:sz w:val="21"/>
                <w:szCs w:val="21"/>
                <w:highlight w:val="none"/>
                <w:vertAlign w:val="superscript"/>
              </w:rPr>
              <w:t>4</w:t>
            </w:r>
          </w:p>
        </w:tc>
        <w:tc>
          <w:tcPr>
            <w:tcW w:w="1503" w:type="dxa"/>
            <w:noWrap w:val="0"/>
            <w:vAlign w:val="center"/>
          </w:tcPr>
          <w:p w14:paraId="6EF506BE">
            <w:pPr>
              <w:jc w:val="center"/>
              <w:rPr>
                <w:sz w:val="21"/>
                <w:szCs w:val="21"/>
                <w:highlight w:val="none"/>
              </w:rPr>
            </w:pPr>
            <w:r>
              <w:rPr>
                <w:rFonts w:hint="eastAsia"/>
                <w:sz w:val="21"/>
                <w:szCs w:val="21"/>
                <w:highlight w:val="none"/>
              </w:rPr>
              <w:t>0.16</w:t>
            </w:r>
          </w:p>
        </w:tc>
      </w:tr>
      <w:tr w14:paraId="401C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8" w:type="dxa"/>
            <w:gridSpan w:val="2"/>
            <w:noWrap w:val="0"/>
            <w:vAlign w:val="center"/>
          </w:tcPr>
          <w:p w14:paraId="254EFFDB">
            <w:pPr>
              <w:jc w:val="center"/>
              <w:rPr>
                <w:sz w:val="21"/>
                <w:szCs w:val="21"/>
                <w:highlight w:val="none"/>
              </w:rPr>
            </w:pPr>
            <w:r>
              <w:rPr>
                <w:rFonts w:hint="eastAsia"/>
                <w:sz w:val="21"/>
                <w:szCs w:val="21"/>
                <w:highlight w:val="none"/>
              </w:rPr>
              <w:t>蒙特卡洛法评估的</w:t>
            </w:r>
          </w:p>
          <w:p w14:paraId="3A58A3E1">
            <w:pPr>
              <w:jc w:val="center"/>
              <w:rPr>
                <w:rFonts w:hint="eastAsia"/>
                <w:sz w:val="21"/>
                <w:szCs w:val="21"/>
                <w:highlight w:val="none"/>
              </w:rPr>
            </w:pPr>
            <w:r>
              <w:rPr>
                <w:rFonts w:hint="eastAsia"/>
                <w:sz w:val="21"/>
                <w:szCs w:val="21"/>
                <w:highlight w:val="none"/>
              </w:rPr>
              <w:t>合成不确定度</w:t>
            </w:r>
          </w:p>
        </w:tc>
        <w:tc>
          <w:tcPr>
            <w:tcW w:w="1502" w:type="dxa"/>
            <w:noWrap w:val="0"/>
            <w:vAlign w:val="center"/>
          </w:tcPr>
          <w:p w14:paraId="3C0D4768">
            <w:pPr>
              <w:jc w:val="center"/>
              <w:rPr>
                <w:rFonts w:hint="eastAsia"/>
                <w:sz w:val="21"/>
                <w:szCs w:val="21"/>
                <w:highlight w:val="none"/>
              </w:rPr>
            </w:pPr>
            <w:r>
              <w:rPr>
                <w:rFonts w:hint="eastAsia"/>
                <w:sz w:val="21"/>
                <w:szCs w:val="21"/>
                <w:highlight w:val="none"/>
              </w:rPr>
              <w:t>2.7×</w:t>
            </w:r>
            <w:r>
              <w:rPr>
                <w:sz w:val="21"/>
                <w:szCs w:val="21"/>
                <w:highlight w:val="none"/>
              </w:rPr>
              <w:t>10</w:t>
            </w:r>
            <w:r>
              <w:rPr>
                <w:sz w:val="21"/>
                <w:szCs w:val="21"/>
                <w:highlight w:val="none"/>
                <w:vertAlign w:val="superscript"/>
              </w:rPr>
              <w:t>-</w:t>
            </w:r>
            <w:r>
              <w:rPr>
                <w:rFonts w:hint="eastAsia"/>
                <w:sz w:val="21"/>
                <w:szCs w:val="21"/>
                <w:highlight w:val="none"/>
                <w:vertAlign w:val="superscript"/>
              </w:rPr>
              <w:t>5</w:t>
            </w:r>
          </w:p>
        </w:tc>
        <w:tc>
          <w:tcPr>
            <w:tcW w:w="1502" w:type="dxa"/>
            <w:noWrap w:val="0"/>
            <w:vAlign w:val="center"/>
          </w:tcPr>
          <w:p w14:paraId="5B9BAFCA">
            <w:pPr>
              <w:jc w:val="center"/>
              <w:rPr>
                <w:rFonts w:hint="eastAsia"/>
                <w:sz w:val="21"/>
                <w:szCs w:val="21"/>
                <w:highlight w:val="none"/>
              </w:rPr>
            </w:pPr>
            <w:r>
              <w:rPr>
                <w:rFonts w:hint="eastAsia"/>
                <w:sz w:val="21"/>
                <w:szCs w:val="21"/>
                <w:highlight w:val="none"/>
              </w:rPr>
              <w:t>1.6</w:t>
            </w:r>
            <w:r>
              <w:rPr>
                <w:sz w:val="21"/>
                <w:szCs w:val="21"/>
                <w:highlight w:val="none"/>
              </w:rPr>
              <w:t>×10</w:t>
            </w:r>
            <w:r>
              <w:rPr>
                <w:sz w:val="21"/>
                <w:szCs w:val="21"/>
                <w:highlight w:val="none"/>
                <w:vertAlign w:val="superscript"/>
              </w:rPr>
              <w:t>-</w:t>
            </w:r>
            <w:r>
              <w:rPr>
                <w:rFonts w:hint="eastAsia"/>
                <w:sz w:val="21"/>
                <w:szCs w:val="21"/>
                <w:highlight w:val="none"/>
                <w:vertAlign w:val="superscript"/>
              </w:rPr>
              <w:t>3</w:t>
            </w:r>
          </w:p>
        </w:tc>
        <w:tc>
          <w:tcPr>
            <w:tcW w:w="1503" w:type="dxa"/>
            <w:noWrap w:val="0"/>
            <w:vAlign w:val="center"/>
          </w:tcPr>
          <w:p w14:paraId="4B7D3189">
            <w:pPr>
              <w:jc w:val="center"/>
              <w:rPr>
                <w:rFonts w:hint="eastAsia"/>
                <w:sz w:val="21"/>
                <w:szCs w:val="21"/>
                <w:highlight w:val="none"/>
              </w:rPr>
            </w:pPr>
            <w:r>
              <w:rPr>
                <w:rFonts w:hint="eastAsia"/>
                <w:sz w:val="21"/>
                <w:szCs w:val="21"/>
                <w:highlight w:val="none"/>
              </w:rPr>
              <w:t>0.64</w:t>
            </w:r>
          </w:p>
        </w:tc>
      </w:tr>
      <w:tr w14:paraId="0F65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8" w:type="dxa"/>
            <w:gridSpan w:val="2"/>
            <w:noWrap w:val="0"/>
            <w:vAlign w:val="center"/>
          </w:tcPr>
          <w:p w14:paraId="4F302287">
            <w:pPr>
              <w:jc w:val="center"/>
              <w:rPr>
                <w:rFonts w:hint="eastAsia"/>
                <w:sz w:val="21"/>
                <w:szCs w:val="21"/>
              </w:rPr>
            </w:pPr>
            <w:r>
              <w:rPr>
                <w:rFonts w:hint="eastAsia"/>
                <w:sz w:val="21"/>
                <w:szCs w:val="21"/>
              </w:rPr>
              <w:t>重复实验的不确定度</w:t>
            </w:r>
          </w:p>
        </w:tc>
        <w:tc>
          <w:tcPr>
            <w:tcW w:w="1502" w:type="dxa"/>
            <w:noWrap w:val="0"/>
            <w:vAlign w:val="center"/>
          </w:tcPr>
          <w:p w14:paraId="48F97CE9">
            <w:pPr>
              <w:jc w:val="center"/>
              <w:rPr>
                <w:rFonts w:hint="eastAsia"/>
                <w:sz w:val="21"/>
                <w:szCs w:val="21"/>
              </w:rPr>
            </w:pPr>
            <w:r>
              <w:rPr>
                <w:rFonts w:hint="eastAsia"/>
                <w:sz w:val="21"/>
                <w:szCs w:val="21"/>
              </w:rPr>
              <w:t>8.7×</w:t>
            </w:r>
            <w:r>
              <w:rPr>
                <w:sz w:val="21"/>
                <w:szCs w:val="21"/>
              </w:rPr>
              <w:t>10</w:t>
            </w:r>
            <w:r>
              <w:rPr>
                <w:sz w:val="21"/>
                <w:szCs w:val="21"/>
                <w:vertAlign w:val="superscript"/>
              </w:rPr>
              <w:t>-</w:t>
            </w:r>
            <w:r>
              <w:rPr>
                <w:rFonts w:hint="eastAsia"/>
                <w:sz w:val="21"/>
                <w:szCs w:val="21"/>
                <w:vertAlign w:val="superscript"/>
              </w:rPr>
              <w:t>6</w:t>
            </w:r>
          </w:p>
        </w:tc>
        <w:tc>
          <w:tcPr>
            <w:tcW w:w="1502" w:type="dxa"/>
            <w:noWrap w:val="0"/>
            <w:vAlign w:val="center"/>
          </w:tcPr>
          <w:p w14:paraId="7752CB12">
            <w:pPr>
              <w:jc w:val="center"/>
              <w:rPr>
                <w:rFonts w:hint="eastAsia"/>
                <w:sz w:val="21"/>
                <w:szCs w:val="21"/>
              </w:rPr>
            </w:pPr>
            <w:r>
              <w:rPr>
                <w:rFonts w:hint="eastAsia"/>
                <w:sz w:val="21"/>
                <w:szCs w:val="21"/>
              </w:rPr>
              <w:t>2.4×</w:t>
            </w:r>
            <w:r>
              <w:rPr>
                <w:sz w:val="21"/>
                <w:szCs w:val="21"/>
              </w:rPr>
              <w:t>10</w:t>
            </w:r>
            <w:r>
              <w:rPr>
                <w:sz w:val="21"/>
                <w:szCs w:val="21"/>
                <w:vertAlign w:val="superscript"/>
              </w:rPr>
              <w:t>-</w:t>
            </w:r>
            <w:r>
              <w:rPr>
                <w:rFonts w:hint="eastAsia"/>
                <w:sz w:val="21"/>
                <w:szCs w:val="21"/>
                <w:vertAlign w:val="superscript"/>
              </w:rPr>
              <w:t>4</w:t>
            </w:r>
          </w:p>
        </w:tc>
        <w:tc>
          <w:tcPr>
            <w:tcW w:w="1503" w:type="dxa"/>
            <w:noWrap w:val="0"/>
            <w:vAlign w:val="center"/>
          </w:tcPr>
          <w:p w14:paraId="30F8472A">
            <w:pPr>
              <w:jc w:val="center"/>
              <w:rPr>
                <w:rFonts w:hint="eastAsia"/>
                <w:sz w:val="21"/>
                <w:szCs w:val="21"/>
              </w:rPr>
            </w:pPr>
            <w:r>
              <w:rPr>
                <w:rFonts w:hint="eastAsia"/>
                <w:sz w:val="21"/>
                <w:szCs w:val="21"/>
              </w:rPr>
              <w:t>0.70</w:t>
            </w:r>
          </w:p>
        </w:tc>
      </w:tr>
    </w:tbl>
    <w:p w14:paraId="692F66E5">
      <w:pPr>
        <w:spacing w:line="400" w:lineRule="exact"/>
        <w:ind w:firstLine="420" w:firstLineChars="200"/>
        <w:rPr>
          <w:rFonts w:hint="eastAsia"/>
          <w:sz w:val="21"/>
          <w:szCs w:val="21"/>
        </w:rPr>
      </w:pPr>
      <w:r>
        <w:rPr>
          <w:rFonts w:hint="eastAsia"/>
          <w:sz w:val="21"/>
          <w:szCs w:val="21"/>
        </w:rPr>
        <w:t>从表1和表2的不确定度评估结果可以得出以下结论：使用椭球拟合法进行磁力仪参数估计时，</w:t>
      </w:r>
      <w:r>
        <w:rPr>
          <w:sz w:val="21"/>
          <w:szCs w:val="21"/>
        </w:rPr>
        <w:t>非正交度的</w:t>
      </w:r>
      <w:r>
        <w:rPr>
          <w:rFonts w:hint="eastAsia"/>
          <w:sz w:val="21"/>
          <w:szCs w:val="21"/>
        </w:rPr>
        <w:t>蒙特卡洛</w:t>
      </w:r>
      <w:r>
        <w:rPr>
          <w:sz w:val="21"/>
          <w:szCs w:val="21"/>
        </w:rPr>
        <w:t>不确定度</w:t>
      </w:r>
      <w:r>
        <w:rPr>
          <w:rFonts w:hint="eastAsia"/>
          <w:sz w:val="21"/>
          <w:szCs w:val="21"/>
        </w:rPr>
        <w:t>评估结果</w:t>
      </w:r>
      <w:r>
        <w:rPr>
          <w:sz w:val="21"/>
          <w:szCs w:val="21"/>
        </w:rPr>
        <w:t>能够覆盖实测重复性的不确定度</w:t>
      </w:r>
      <w:r>
        <w:rPr>
          <w:rFonts w:hint="eastAsia"/>
          <w:sz w:val="21"/>
          <w:szCs w:val="21"/>
        </w:rPr>
        <w:t>，说明蒙特卡洛法能够给出椭球拟合法校准磁强计的非正交度不确定度上限，而零位和灵敏度的不确定度结果与实测重复性存在些许偏差，</w:t>
      </w:r>
      <w:r>
        <w:rPr>
          <w:sz w:val="21"/>
          <w:szCs w:val="21"/>
        </w:rPr>
        <w:t>其原因可能是评估过程中，仍有未考虑到的不确定度分量，如读数时磁通门由于震动等原因引起的读数波动，三轴数据采样的同步性对磁场数据质量的影响</w:t>
      </w:r>
      <w:r>
        <w:rPr>
          <w:rFonts w:hint="eastAsia"/>
          <w:sz w:val="21"/>
          <w:szCs w:val="21"/>
        </w:rPr>
        <w:t>。</w:t>
      </w:r>
    </w:p>
    <w:p w14:paraId="6BAC15AC">
      <w:pPr>
        <w:spacing w:before="50" w:after="50" w:line="400" w:lineRule="exact"/>
        <w:rPr>
          <w:rFonts w:hint="eastAsia" w:ascii="黑体" w:hAnsi="黑体" w:eastAsia="黑体"/>
          <w:sz w:val="21"/>
          <w:szCs w:val="21"/>
        </w:rPr>
      </w:pPr>
      <w:r>
        <w:rPr>
          <w:rFonts w:ascii="黑体" w:hAnsi="黑体" w:eastAsia="黑体"/>
          <w:sz w:val="21"/>
          <w:szCs w:val="21"/>
        </w:rPr>
        <w:t xml:space="preserve">6  </w:t>
      </w:r>
      <w:r>
        <w:rPr>
          <w:rFonts w:hint="eastAsia" w:ascii="黑体" w:hAnsi="黑体" w:eastAsia="黑体"/>
          <w:sz w:val="21"/>
          <w:szCs w:val="21"/>
        </w:rPr>
        <w:t>结论</w:t>
      </w:r>
    </w:p>
    <w:p w14:paraId="2489160F">
      <w:pPr>
        <w:spacing w:line="400" w:lineRule="exact"/>
        <w:ind w:firstLine="420"/>
        <w:rPr>
          <w:rFonts w:hint="eastAsia" w:ascii="宋体" w:hAnsi="宋体"/>
          <w:sz w:val="21"/>
          <w:szCs w:val="21"/>
        </w:rPr>
      </w:pPr>
      <w:r>
        <w:rPr>
          <w:rFonts w:hint="eastAsia"/>
          <w:sz w:val="21"/>
          <w:szCs w:val="21"/>
        </w:rPr>
        <w:t>当评估</w:t>
      </w:r>
      <w:r>
        <w:rPr>
          <w:rFonts w:hint="eastAsia"/>
          <w:sz w:val="21"/>
          <w:szCs w:val="21"/>
          <w:lang w:val="en-US" w:eastAsia="zh-CN"/>
        </w:rPr>
        <w:t>矢量</w:t>
      </w:r>
      <w:r>
        <w:rPr>
          <w:rFonts w:hint="eastAsia"/>
          <w:sz w:val="21"/>
          <w:szCs w:val="21"/>
        </w:rPr>
        <w:t>磁强计的</w:t>
      </w:r>
      <w:r>
        <w:rPr>
          <w:rFonts w:hint="eastAsia"/>
          <w:sz w:val="21"/>
          <w:szCs w:val="21"/>
          <w:lang w:val="en-US" w:eastAsia="zh-CN"/>
        </w:rPr>
        <w:t>灵敏度、</w:t>
      </w:r>
      <w:r>
        <w:rPr>
          <w:rFonts w:hint="eastAsia"/>
          <w:sz w:val="21"/>
          <w:szCs w:val="21"/>
        </w:rPr>
        <w:t>非正交性</w:t>
      </w:r>
      <w:r>
        <w:rPr>
          <w:rFonts w:hint="eastAsia"/>
          <w:sz w:val="21"/>
          <w:szCs w:val="21"/>
          <w:lang w:eastAsia="zh-CN"/>
        </w:rPr>
        <w:t>、</w:t>
      </w:r>
      <w:r>
        <w:rPr>
          <w:rFonts w:hint="eastAsia"/>
          <w:sz w:val="21"/>
          <w:szCs w:val="21"/>
          <w:lang w:val="en-US" w:eastAsia="zh-CN"/>
        </w:rPr>
        <w:t>零位</w:t>
      </w:r>
      <w:r>
        <w:rPr>
          <w:rFonts w:hint="eastAsia"/>
          <w:sz w:val="21"/>
          <w:szCs w:val="21"/>
        </w:rPr>
        <w:t>时，</w:t>
      </w:r>
      <w:r>
        <w:rPr>
          <w:rFonts w:hint="eastAsia" w:ascii="宋体" w:hAnsi="宋体"/>
          <w:sz w:val="21"/>
          <w:szCs w:val="21"/>
        </w:rPr>
        <w:t>《</w:t>
      </w:r>
      <w:r>
        <w:rPr>
          <w:rFonts w:ascii="宋体" w:hAnsi="宋体"/>
          <w:sz w:val="21"/>
          <w:szCs w:val="21"/>
        </w:rPr>
        <w:t>基于椭球拟合的矢量磁强计校准规范</w:t>
      </w:r>
      <w:r>
        <w:rPr>
          <w:rFonts w:hint="eastAsia" w:ascii="宋体" w:hAnsi="宋体"/>
          <w:sz w:val="21"/>
          <w:szCs w:val="21"/>
        </w:rPr>
        <w:t>》的校准项目和校准条件合理、校准方法正确可行、可操作性强</w:t>
      </w:r>
      <w:r>
        <w:rPr>
          <w:rFonts w:hint="eastAsia" w:ascii="宋体" w:hAnsi="宋体"/>
          <w:sz w:val="21"/>
          <w:szCs w:val="21"/>
          <w:lang w:eastAsia="zh-CN"/>
        </w:rPr>
        <w:t>，</w:t>
      </w:r>
      <w:r>
        <w:rPr>
          <w:rFonts w:hint="eastAsia" w:ascii="宋体" w:hAnsi="宋体"/>
          <w:sz w:val="21"/>
          <w:szCs w:val="21"/>
          <w:lang w:val="en-US" w:eastAsia="zh-CN"/>
        </w:rPr>
        <w:t>考虑到该方法的不确定度来自蒙特塔罗法对理论数据的分析，而非实验数据的计算，不确定度来源可能存在未包含项，进行不确定度扩展时，可适当放大比例，如取k=3</w:t>
      </w:r>
      <w:r>
        <w:rPr>
          <w:rFonts w:hint="eastAsia" w:ascii="宋体" w:hAnsi="宋体"/>
          <w:sz w:val="21"/>
          <w:szCs w:val="21"/>
        </w:rPr>
        <w:t>。</w:t>
      </w:r>
      <w:bookmarkStart w:id="3" w:name="_GoBack"/>
      <w:bookmarkEnd w:id="3"/>
    </w:p>
    <w:sectPr>
      <w:footerReference r:id="rId3" w:type="default"/>
      <w:footerReference r:id="rId4" w:type="even"/>
      <w:pgSz w:w="11906" w:h="16838"/>
      <w:pgMar w:top="1440" w:right="1418" w:bottom="1440" w:left="1418" w:header="851" w:footer="992" w:gutter="0"/>
      <w:pgNumType w:start="0"/>
      <w:cols w:space="720"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9662">
    <w:pPr>
      <w:pStyle w:val="5"/>
      <w:framePr w:wrap="around" w:vAnchor="text" w:hAnchor="margin" w:xAlign="center" w:y="1"/>
      <w:rPr>
        <w:rStyle w:val="10"/>
        <w:rFonts w:ascii="宋体" w:hAnsi="宋体"/>
      </w:rPr>
    </w:pPr>
    <w:r>
      <w:rPr>
        <w:rStyle w:val="10"/>
        <w:rFonts w:ascii="宋体" w:hAnsi="宋体"/>
      </w:rPr>
      <w:fldChar w:fldCharType="begin"/>
    </w:r>
    <w:r>
      <w:rPr>
        <w:rStyle w:val="10"/>
        <w:rFonts w:ascii="宋体" w:hAnsi="宋体"/>
      </w:rPr>
      <w:instrText xml:space="preserve">PAGE  </w:instrText>
    </w:r>
    <w:r>
      <w:rPr>
        <w:rStyle w:val="10"/>
        <w:rFonts w:ascii="宋体" w:hAnsi="宋体"/>
      </w:rPr>
      <w:fldChar w:fldCharType="separate"/>
    </w:r>
    <w:r>
      <w:rPr>
        <w:rStyle w:val="10"/>
        <w:rFonts w:ascii="宋体" w:hAnsi="宋体"/>
      </w:rPr>
      <w:t>1</w:t>
    </w:r>
    <w:r>
      <w:rPr>
        <w:rStyle w:val="10"/>
        <w:rFonts w:ascii="宋体" w:hAnsi="宋体"/>
      </w:rPr>
      <w:fldChar w:fldCharType="end"/>
    </w:r>
  </w:p>
  <w:p w14:paraId="0DE1E11E">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D479C">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04CC0F85">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6A4721"/>
    <w:multiLevelType w:val="multilevel"/>
    <w:tmpl w:val="096A4721"/>
    <w:lvl w:ilvl="0" w:tentative="0">
      <w:start w:val="1"/>
      <w:numFmt w:val="lowerLetter"/>
      <w:lvlText w:val="%1)"/>
      <w:lvlJc w:val="left"/>
      <w:pPr>
        <w:tabs>
          <w:tab w:val="left" w:pos="899"/>
        </w:tabs>
        <w:ind w:left="899" w:hanging="420"/>
      </w:pPr>
      <w:rPr>
        <w:rFonts w:hint="default" w:ascii="Times New Roman" w:hAnsi="Times New Roman" w:cs="Times New Roman"/>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6CEA2025"/>
    <w:multiLevelType w:val="multilevel"/>
    <w:tmpl w:val="6CEA2025"/>
    <w:lvl w:ilvl="0" w:tentative="0">
      <w:start w:val="1"/>
      <w:numFmt w:val="none"/>
      <w:pStyle w:val="13"/>
      <w:suff w:val="nothing"/>
      <w:lvlText w:val="%1"/>
      <w:lvlJc w:val="left"/>
      <w:pPr>
        <w:ind w:left="0" w:firstLine="0"/>
      </w:pPr>
      <w:rPr>
        <w:rFonts w:hint="default" w:ascii="Times New Roman" w:hAnsi="Times New Roman"/>
        <w:b/>
        <w:i w:val="0"/>
        <w:sz w:val="21"/>
      </w:rPr>
    </w:lvl>
    <w:lvl w:ilvl="1" w:tentative="0">
      <w:start w:val="1"/>
      <w:numFmt w:val="decimal"/>
      <w:pStyle w:val="14"/>
      <w:suff w:val="nothing"/>
      <w:lvlText w:val="%1%2　"/>
      <w:lvlJc w:val="left"/>
      <w:pPr>
        <w:ind w:left="0" w:firstLine="0"/>
      </w:pPr>
      <w:rPr>
        <w:rFonts w:hint="eastAsia" w:ascii="黑体" w:hAnsi="Times New Roman" w:eastAsia="黑体"/>
        <w:b w:val="0"/>
        <w:i w:val="0"/>
        <w:sz w:val="21"/>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8"/>
      <w:suff w:val="nothing"/>
      <w:lvlText w:val="%1%2.%3.%4.%5.%6　"/>
      <w:lvlJc w:val="left"/>
      <w:pPr>
        <w:ind w:left="0" w:firstLine="0"/>
      </w:pPr>
      <w:rPr>
        <w:rFonts w:hint="eastAsia" w:ascii="黑体" w:hAnsi="Times New Roman" w:eastAsia="黑体"/>
        <w:b w:val="0"/>
        <w:i w:val="0"/>
        <w:sz w:val="21"/>
      </w:rPr>
    </w:lvl>
    <w:lvl w:ilvl="6" w:tentative="0">
      <w:start w:val="1"/>
      <w:numFmt w:val="decimal"/>
      <w:pStyle w:val="1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DBF04F4"/>
    <w:multiLevelType w:val="multilevel"/>
    <w:tmpl w:val="6DBF04F4"/>
    <w:lvl w:ilvl="0" w:tentative="0">
      <w:start w:val="1"/>
      <w:numFmt w:val="none"/>
      <w:pStyle w:val="12"/>
      <w:lvlText w:val="%1注："/>
      <w:lvlJc w:val="left"/>
      <w:pPr>
        <w:tabs>
          <w:tab w:val="left" w:pos="1140"/>
        </w:tabs>
        <w:ind w:left="782" w:hanging="362"/>
      </w:pPr>
      <w:rPr>
        <w:rFonts w:hint="eastAsia" w:ascii="宋体" w:hAnsi="Times New Roman" w:eastAsia="宋体"/>
        <w:b w:val="0"/>
        <w:i w:val="0"/>
        <w:sz w:val="18"/>
      </w:rPr>
    </w:lvl>
    <w:lvl w:ilvl="1" w:tentative="0">
      <w:start w:val="1"/>
      <w:numFmt w:val="lowerLetter"/>
      <w:lvlText w:val="%2）"/>
      <w:lvlJc w:val="left"/>
      <w:pPr>
        <w:tabs>
          <w:tab w:val="left" w:pos="960"/>
        </w:tabs>
        <w:ind w:left="960" w:hanging="360"/>
      </w:pPr>
      <w:rPr>
        <w:rFonts w:hint="default" w:ascii="宋体" w:hAnsi="宋体" w:eastAsia="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rPr>
        <w:rFonts w:ascii="宋体" w:hAnsi="宋体" w:eastAsia="宋体"/>
      </w:rPr>
    </w:lvl>
    <w:lvl w:ilvl="8" w:tentative="0">
      <w:start w:val="1"/>
      <w:numFmt w:val="lowerRoman"/>
      <w:lvlText w:val="%9."/>
      <w:lvlJc w:val="right"/>
      <w:pPr>
        <w:tabs>
          <w:tab w:val="left" w:pos="3780"/>
        </w:tabs>
        <w:ind w:left="3780" w:hanging="420"/>
      </w:pPr>
    </w:lvl>
  </w:abstractNum>
  <w:abstractNum w:abstractNumId="3">
    <w:nsid w:val="7A9C0B90"/>
    <w:multiLevelType w:val="multilevel"/>
    <w:tmpl w:val="7A9C0B90"/>
    <w:lvl w:ilvl="0" w:tentative="0">
      <w:start w:val="1"/>
      <w:numFmt w:val="decimal"/>
      <w:lvlText w:val="%1"/>
      <w:lvlJc w:val="left"/>
      <w:pPr>
        <w:tabs>
          <w:tab w:val="left" w:pos="360"/>
        </w:tabs>
        <w:ind w:left="360" w:hanging="360"/>
      </w:pPr>
      <w:rPr>
        <w:rFonts w:hint="default"/>
      </w:rPr>
    </w:lvl>
    <w:lvl w:ilvl="1" w:tentative="0">
      <w:start w:val="1"/>
      <w:numFmt w:val="decimal"/>
      <w:isLgl/>
      <w:lvlText w:val="_x0002_.%2"/>
      <w:lvlJc w:val="left"/>
      <w:pPr>
        <w:tabs>
          <w:tab w:val="left" w:pos="525"/>
        </w:tabs>
        <w:ind w:left="525" w:hanging="525"/>
      </w:pPr>
      <w:rPr>
        <w:rFonts w:hint="default" w:ascii="宋体" w:hAnsi="宋体"/>
      </w:rPr>
    </w:lvl>
    <w:lvl w:ilvl="2" w:tentative="0">
      <w:start w:val="1"/>
      <w:numFmt w:val="decimal"/>
      <w:isLgl/>
      <w:lvlText w:val="%1.%2.%3"/>
      <w:lvlJc w:val="left"/>
      <w:pPr>
        <w:tabs>
          <w:tab w:val="left" w:pos="720"/>
        </w:tabs>
        <w:ind w:left="720" w:hanging="720"/>
      </w:pPr>
      <w:rPr>
        <w:rFonts w:hint="default" w:ascii="宋体" w:hAnsi="宋体"/>
      </w:rPr>
    </w:lvl>
    <w:lvl w:ilvl="3" w:tentative="0">
      <w:start w:val="1"/>
      <w:numFmt w:val="decimal"/>
      <w:isLgl/>
      <w:lvlText w:val="%1.%2.%3.%4"/>
      <w:lvlJc w:val="left"/>
      <w:pPr>
        <w:tabs>
          <w:tab w:val="left" w:pos="1080"/>
        </w:tabs>
        <w:ind w:left="1080" w:hanging="1080"/>
      </w:pPr>
      <w:rPr>
        <w:rFonts w:hint="default" w:ascii="宋体" w:hAnsi="宋体"/>
      </w:rPr>
    </w:lvl>
    <w:lvl w:ilvl="4" w:tentative="0">
      <w:start w:val="1"/>
      <w:numFmt w:val="decimal"/>
      <w:isLgl/>
      <w:lvlText w:val="%1.%2.%3.%4.%5"/>
      <w:lvlJc w:val="left"/>
      <w:pPr>
        <w:tabs>
          <w:tab w:val="left" w:pos="1080"/>
        </w:tabs>
        <w:ind w:left="1080" w:hanging="1080"/>
      </w:pPr>
      <w:rPr>
        <w:rFonts w:hint="default" w:ascii="宋体" w:hAnsi="宋体"/>
      </w:rPr>
    </w:lvl>
    <w:lvl w:ilvl="5" w:tentative="0">
      <w:start w:val="1"/>
      <w:numFmt w:val="decimal"/>
      <w:isLgl/>
      <w:lvlText w:val="%1.%2.%3.%4.%5.%6"/>
      <w:lvlJc w:val="left"/>
      <w:pPr>
        <w:tabs>
          <w:tab w:val="left" w:pos="1440"/>
        </w:tabs>
        <w:ind w:left="1440" w:hanging="1440"/>
      </w:pPr>
      <w:rPr>
        <w:rFonts w:hint="default" w:ascii="宋体" w:hAnsi="宋体"/>
      </w:rPr>
    </w:lvl>
    <w:lvl w:ilvl="6" w:tentative="0">
      <w:start w:val="1"/>
      <w:numFmt w:val="decimal"/>
      <w:isLgl/>
      <w:lvlText w:val="%1.%2.%3.%4.%5.%6.%7"/>
      <w:lvlJc w:val="left"/>
      <w:pPr>
        <w:tabs>
          <w:tab w:val="left" w:pos="1440"/>
        </w:tabs>
        <w:ind w:left="1440" w:hanging="1440"/>
      </w:pPr>
      <w:rPr>
        <w:rFonts w:hint="default" w:ascii="宋体" w:hAnsi="宋体"/>
      </w:rPr>
    </w:lvl>
    <w:lvl w:ilvl="7" w:tentative="0">
      <w:start w:val="1"/>
      <w:numFmt w:val="decimal"/>
      <w:isLgl/>
      <w:lvlText w:val="%1.%2.%3.%4.%5.%6.%7.%8"/>
      <w:lvlJc w:val="left"/>
      <w:pPr>
        <w:tabs>
          <w:tab w:val="left" w:pos="1800"/>
        </w:tabs>
        <w:ind w:left="1800" w:hanging="1800"/>
      </w:pPr>
      <w:rPr>
        <w:rFonts w:hint="default" w:ascii="宋体" w:hAnsi="宋体"/>
      </w:rPr>
    </w:lvl>
    <w:lvl w:ilvl="8" w:tentative="0">
      <w:start w:val="1"/>
      <w:numFmt w:val="decimal"/>
      <w:isLgl/>
      <w:lvlText w:val="%1.%2.%3.%4.%5.%6.%7.%8.%9"/>
      <w:lvlJc w:val="left"/>
      <w:pPr>
        <w:tabs>
          <w:tab w:val="left" w:pos="1800"/>
        </w:tabs>
        <w:ind w:left="1800" w:hanging="1800"/>
      </w:pPr>
      <w:rPr>
        <w:rFonts w:hint="default" w:ascii="宋体" w:hAnsi="宋体"/>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YzljYmNjZTUwMzg1YmVjZjg0MzgwOWM2NDdjOTgifQ=="/>
  </w:docVars>
  <w:rsids>
    <w:rsidRoot w:val="00C148A6"/>
    <w:rsid w:val="00003807"/>
    <w:rsid w:val="00010B5D"/>
    <w:rsid w:val="00013B8E"/>
    <w:rsid w:val="00021AD7"/>
    <w:rsid w:val="00026B93"/>
    <w:rsid w:val="00031F1F"/>
    <w:rsid w:val="0003763B"/>
    <w:rsid w:val="00044DAF"/>
    <w:rsid w:val="00051678"/>
    <w:rsid w:val="00053B5F"/>
    <w:rsid w:val="000557C3"/>
    <w:rsid w:val="000561BA"/>
    <w:rsid w:val="00060BAB"/>
    <w:rsid w:val="000621F5"/>
    <w:rsid w:val="0006733A"/>
    <w:rsid w:val="000718FC"/>
    <w:rsid w:val="00076459"/>
    <w:rsid w:val="00085B2D"/>
    <w:rsid w:val="00091F35"/>
    <w:rsid w:val="000920CE"/>
    <w:rsid w:val="00096B1C"/>
    <w:rsid w:val="000A3A49"/>
    <w:rsid w:val="000A5987"/>
    <w:rsid w:val="000A62C6"/>
    <w:rsid w:val="000B091A"/>
    <w:rsid w:val="000B3D8F"/>
    <w:rsid w:val="000C1B25"/>
    <w:rsid w:val="000C2C8A"/>
    <w:rsid w:val="000D042F"/>
    <w:rsid w:val="000D2FF5"/>
    <w:rsid w:val="000D667B"/>
    <w:rsid w:val="000E0BC5"/>
    <w:rsid w:val="000E3D89"/>
    <w:rsid w:val="000E6124"/>
    <w:rsid w:val="000F5B49"/>
    <w:rsid w:val="00102B7E"/>
    <w:rsid w:val="00111518"/>
    <w:rsid w:val="001171BF"/>
    <w:rsid w:val="00130134"/>
    <w:rsid w:val="00132E3E"/>
    <w:rsid w:val="00134FDB"/>
    <w:rsid w:val="001363C2"/>
    <w:rsid w:val="00146CE8"/>
    <w:rsid w:val="00151AF4"/>
    <w:rsid w:val="00160A60"/>
    <w:rsid w:val="00161FB8"/>
    <w:rsid w:val="00163A38"/>
    <w:rsid w:val="00167CE6"/>
    <w:rsid w:val="0017032E"/>
    <w:rsid w:val="00170F2A"/>
    <w:rsid w:val="00172E41"/>
    <w:rsid w:val="0017466B"/>
    <w:rsid w:val="001810F7"/>
    <w:rsid w:val="00183BD6"/>
    <w:rsid w:val="001840CB"/>
    <w:rsid w:val="001851DB"/>
    <w:rsid w:val="0019510D"/>
    <w:rsid w:val="001960E9"/>
    <w:rsid w:val="001A4259"/>
    <w:rsid w:val="001B1D09"/>
    <w:rsid w:val="001B306C"/>
    <w:rsid w:val="001C4981"/>
    <w:rsid w:val="001C620B"/>
    <w:rsid w:val="001C6240"/>
    <w:rsid w:val="001D104A"/>
    <w:rsid w:val="001D3F3C"/>
    <w:rsid w:val="001D74E2"/>
    <w:rsid w:val="001E0EDA"/>
    <w:rsid w:val="001E39FA"/>
    <w:rsid w:val="001F4F1F"/>
    <w:rsid w:val="001F5E5D"/>
    <w:rsid w:val="001F660B"/>
    <w:rsid w:val="0020033E"/>
    <w:rsid w:val="00201A36"/>
    <w:rsid w:val="00204315"/>
    <w:rsid w:val="00222BCD"/>
    <w:rsid w:val="002279F3"/>
    <w:rsid w:val="00234638"/>
    <w:rsid w:val="00236772"/>
    <w:rsid w:val="00240AAD"/>
    <w:rsid w:val="00241D0D"/>
    <w:rsid w:val="0024299E"/>
    <w:rsid w:val="0025388F"/>
    <w:rsid w:val="0026477B"/>
    <w:rsid w:val="00266D6B"/>
    <w:rsid w:val="0026726E"/>
    <w:rsid w:val="00281A81"/>
    <w:rsid w:val="002841FB"/>
    <w:rsid w:val="00293641"/>
    <w:rsid w:val="002961E6"/>
    <w:rsid w:val="002A24E9"/>
    <w:rsid w:val="002A5DA4"/>
    <w:rsid w:val="002A5E8C"/>
    <w:rsid w:val="002A7577"/>
    <w:rsid w:val="002B264B"/>
    <w:rsid w:val="002D0347"/>
    <w:rsid w:val="002D0583"/>
    <w:rsid w:val="002D26D8"/>
    <w:rsid w:val="002E725D"/>
    <w:rsid w:val="003012A4"/>
    <w:rsid w:val="003050FA"/>
    <w:rsid w:val="0031231B"/>
    <w:rsid w:val="00320F77"/>
    <w:rsid w:val="00324694"/>
    <w:rsid w:val="00324B24"/>
    <w:rsid w:val="003279E3"/>
    <w:rsid w:val="0033015C"/>
    <w:rsid w:val="00331842"/>
    <w:rsid w:val="00334D3E"/>
    <w:rsid w:val="00335CB4"/>
    <w:rsid w:val="00346DC8"/>
    <w:rsid w:val="00347AC0"/>
    <w:rsid w:val="00350457"/>
    <w:rsid w:val="003551F6"/>
    <w:rsid w:val="0035601E"/>
    <w:rsid w:val="00367631"/>
    <w:rsid w:val="00370E61"/>
    <w:rsid w:val="00372F1D"/>
    <w:rsid w:val="00386396"/>
    <w:rsid w:val="00393CF8"/>
    <w:rsid w:val="003A6E0F"/>
    <w:rsid w:val="003B3F2E"/>
    <w:rsid w:val="003B6B6A"/>
    <w:rsid w:val="003C1F70"/>
    <w:rsid w:val="003C3730"/>
    <w:rsid w:val="003C74EC"/>
    <w:rsid w:val="003D1BF0"/>
    <w:rsid w:val="003D63F4"/>
    <w:rsid w:val="003E2952"/>
    <w:rsid w:val="003E5D83"/>
    <w:rsid w:val="003F01E2"/>
    <w:rsid w:val="003F52E7"/>
    <w:rsid w:val="00401C4C"/>
    <w:rsid w:val="00401E2A"/>
    <w:rsid w:val="00402599"/>
    <w:rsid w:val="004054D1"/>
    <w:rsid w:val="00406B8D"/>
    <w:rsid w:val="00407661"/>
    <w:rsid w:val="004109E7"/>
    <w:rsid w:val="0043033C"/>
    <w:rsid w:val="0043338E"/>
    <w:rsid w:val="0043346C"/>
    <w:rsid w:val="004357B9"/>
    <w:rsid w:val="00436E51"/>
    <w:rsid w:val="0044582B"/>
    <w:rsid w:val="0044705B"/>
    <w:rsid w:val="00456F7A"/>
    <w:rsid w:val="0046443F"/>
    <w:rsid w:val="00465213"/>
    <w:rsid w:val="00465BDB"/>
    <w:rsid w:val="00467396"/>
    <w:rsid w:val="00470A52"/>
    <w:rsid w:val="00473016"/>
    <w:rsid w:val="0047321C"/>
    <w:rsid w:val="00474A27"/>
    <w:rsid w:val="00474EBF"/>
    <w:rsid w:val="004756C8"/>
    <w:rsid w:val="00481C8B"/>
    <w:rsid w:val="00487399"/>
    <w:rsid w:val="004957FF"/>
    <w:rsid w:val="004A3903"/>
    <w:rsid w:val="004A686E"/>
    <w:rsid w:val="004B4168"/>
    <w:rsid w:val="004B6CF2"/>
    <w:rsid w:val="004C1247"/>
    <w:rsid w:val="004C12BA"/>
    <w:rsid w:val="004C2429"/>
    <w:rsid w:val="004C4D36"/>
    <w:rsid w:val="004D57A0"/>
    <w:rsid w:val="004D693F"/>
    <w:rsid w:val="004E13EE"/>
    <w:rsid w:val="004E1BBC"/>
    <w:rsid w:val="004F0F77"/>
    <w:rsid w:val="004F14FC"/>
    <w:rsid w:val="004F1B45"/>
    <w:rsid w:val="004F3BAF"/>
    <w:rsid w:val="00502EB1"/>
    <w:rsid w:val="00506C20"/>
    <w:rsid w:val="005146AB"/>
    <w:rsid w:val="00515058"/>
    <w:rsid w:val="00524EE6"/>
    <w:rsid w:val="005305A2"/>
    <w:rsid w:val="00531357"/>
    <w:rsid w:val="005313EB"/>
    <w:rsid w:val="00534871"/>
    <w:rsid w:val="005365A9"/>
    <w:rsid w:val="005435DE"/>
    <w:rsid w:val="0054728B"/>
    <w:rsid w:val="00551BBC"/>
    <w:rsid w:val="005554BB"/>
    <w:rsid w:val="005761C6"/>
    <w:rsid w:val="0058755E"/>
    <w:rsid w:val="0059240D"/>
    <w:rsid w:val="005976FD"/>
    <w:rsid w:val="005B3147"/>
    <w:rsid w:val="005D3AB9"/>
    <w:rsid w:val="005D5018"/>
    <w:rsid w:val="005D6833"/>
    <w:rsid w:val="005E3003"/>
    <w:rsid w:val="005E5725"/>
    <w:rsid w:val="005F1057"/>
    <w:rsid w:val="005F3171"/>
    <w:rsid w:val="005F58A9"/>
    <w:rsid w:val="00600EBE"/>
    <w:rsid w:val="00602497"/>
    <w:rsid w:val="006042C3"/>
    <w:rsid w:val="006078A2"/>
    <w:rsid w:val="00613BBF"/>
    <w:rsid w:val="00614697"/>
    <w:rsid w:val="0064011C"/>
    <w:rsid w:val="006417D4"/>
    <w:rsid w:val="00645117"/>
    <w:rsid w:val="00650081"/>
    <w:rsid w:val="00654138"/>
    <w:rsid w:val="006600E6"/>
    <w:rsid w:val="00661BCD"/>
    <w:rsid w:val="006641C5"/>
    <w:rsid w:val="00665CA6"/>
    <w:rsid w:val="00672529"/>
    <w:rsid w:val="006876D0"/>
    <w:rsid w:val="006A09A2"/>
    <w:rsid w:val="006B3F01"/>
    <w:rsid w:val="006C01CD"/>
    <w:rsid w:val="006C5665"/>
    <w:rsid w:val="006C7A34"/>
    <w:rsid w:val="006D0C7D"/>
    <w:rsid w:val="006D7BDF"/>
    <w:rsid w:val="006E7980"/>
    <w:rsid w:val="006E79BB"/>
    <w:rsid w:val="006F2A16"/>
    <w:rsid w:val="007051DD"/>
    <w:rsid w:val="00710956"/>
    <w:rsid w:val="007200BB"/>
    <w:rsid w:val="00760FC1"/>
    <w:rsid w:val="0077393B"/>
    <w:rsid w:val="0078164E"/>
    <w:rsid w:val="00783193"/>
    <w:rsid w:val="00792223"/>
    <w:rsid w:val="0079715B"/>
    <w:rsid w:val="007A46C9"/>
    <w:rsid w:val="007A7ADC"/>
    <w:rsid w:val="007B04BF"/>
    <w:rsid w:val="007B087A"/>
    <w:rsid w:val="007B1EEA"/>
    <w:rsid w:val="007B5C9D"/>
    <w:rsid w:val="007B5DC7"/>
    <w:rsid w:val="007B6D2F"/>
    <w:rsid w:val="007B7BA3"/>
    <w:rsid w:val="007C146A"/>
    <w:rsid w:val="007C7698"/>
    <w:rsid w:val="007C7CD9"/>
    <w:rsid w:val="007C7E64"/>
    <w:rsid w:val="007D00C0"/>
    <w:rsid w:val="007D028B"/>
    <w:rsid w:val="007D17A3"/>
    <w:rsid w:val="007D1CE0"/>
    <w:rsid w:val="007E7EF6"/>
    <w:rsid w:val="00800777"/>
    <w:rsid w:val="0080429E"/>
    <w:rsid w:val="00804ECC"/>
    <w:rsid w:val="00810B4D"/>
    <w:rsid w:val="0081370E"/>
    <w:rsid w:val="00823162"/>
    <w:rsid w:val="008261D4"/>
    <w:rsid w:val="0082656D"/>
    <w:rsid w:val="00826CB9"/>
    <w:rsid w:val="00843851"/>
    <w:rsid w:val="0085100D"/>
    <w:rsid w:val="008554D4"/>
    <w:rsid w:val="00860BA7"/>
    <w:rsid w:val="00867C78"/>
    <w:rsid w:val="00872EBE"/>
    <w:rsid w:val="00874B83"/>
    <w:rsid w:val="008779A1"/>
    <w:rsid w:val="00887CF6"/>
    <w:rsid w:val="00892332"/>
    <w:rsid w:val="008923AA"/>
    <w:rsid w:val="00897EC2"/>
    <w:rsid w:val="008A0842"/>
    <w:rsid w:val="008A5D48"/>
    <w:rsid w:val="008B2133"/>
    <w:rsid w:val="008B50E4"/>
    <w:rsid w:val="008B71F3"/>
    <w:rsid w:val="008C09C6"/>
    <w:rsid w:val="008C0EEB"/>
    <w:rsid w:val="008D40DB"/>
    <w:rsid w:val="008D529C"/>
    <w:rsid w:val="008D7690"/>
    <w:rsid w:val="008E57A5"/>
    <w:rsid w:val="008F15E7"/>
    <w:rsid w:val="008F5B26"/>
    <w:rsid w:val="009021D4"/>
    <w:rsid w:val="00902360"/>
    <w:rsid w:val="00915E0C"/>
    <w:rsid w:val="00916150"/>
    <w:rsid w:val="00922A83"/>
    <w:rsid w:val="0092306D"/>
    <w:rsid w:val="00924FEC"/>
    <w:rsid w:val="00925BF3"/>
    <w:rsid w:val="00926052"/>
    <w:rsid w:val="0093054A"/>
    <w:rsid w:val="00932ADD"/>
    <w:rsid w:val="00936379"/>
    <w:rsid w:val="00940BFB"/>
    <w:rsid w:val="00942274"/>
    <w:rsid w:val="009469D8"/>
    <w:rsid w:val="009519A1"/>
    <w:rsid w:val="00955C25"/>
    <w:rsid w:val="0096640B"/>
    <w:rsid w:val="00967C86"/>
    <w:rsid w:val="009704DB"/>
    <w:rsid w:val="00982ED2"/>
    <w:rsid w:val="00991B37"/>
    <w:rsid w:val="00994400"/>
    <w:rsid w:val="009A103F"/>
    <w:rsid w:val="009A25FA"/>
    <w:rsid w:val="009A4BA8"/>
    <w:rsid w:val="009B3046"/>
    <w:rsid w:val="009B4DF1"/>
    <w:rsid w:val="009B5CB6"/>
    <w:rsid w:val="009C0ABC"/>
    <w:rsid w:val="009C41C4"/>
    <w:rsid w:val="009C7A33"/>
    <w:rsid w:val="009D5300"/>
    <w:rsid w:val="009D697F"/>
    <w:rsid w:val="009D74F5"/>
    <w:rsid w:val="009E0AEB"/>
    <w:rsid w:val="009E4F16"/>
    <w:rsid w:val="009F1890"/>
    <w:rsid w:val="009F6920"/>
    <w:rsid w:val="009F7DD6"/>
    <w:rsid w:val="00A0227C"/>
    <w:rsid w:val="00A05E6C"/>
    <w:rsid w:val="00A075A9"/>
    <w:rsid w:val="00A07927"/>
    <w:rsid w:val="00A10CB3"/>
    <w:rsid w:val="00A21FCC"/>
    <w:rsid w:val="00A23A63"/>
    <w:rsid w:val="00A27D9E"/>
    <w:rsid w:val="00A31945"/>
    <w:rsid w:val="00A536A0"/>
    <w:rsid w:val="00A67DB1"/>
    <w:rsid w:val="00A71A51"/>
    <w:rsid w:val="00A75388"/>
    <w:rsid w:val="00A90641"/>
    <w:rsid w:val="00AD2F64"/>
    <w:rsid w:val="00AD3CAB"/>
    <w:rsid w:val="00AD54B0"/>
    <w:rsid w:val="00AD6CA2"/>
    <w:rsid w:val="00AE2532"/>
    <w:rsid w:val="00AE51D8"/>
    <w:rsid w:val="00AF2357"/>
    <w:rsid w:val="00B019AB"/>
    <w:rsid w:val="00B02265"/>
    <w:rsid w:val="00B21A51"/>
    <w:rsid w:val="00B35CC6"/>
    <w:rsid w:val="00B40873"/>
    <w:rsid w:val="00B44093"/>
    <w:rsid w:val="00B46199"/>
    <w:rsid w:val="00B46871"/>
    <w:rsid w:val="00B50126"/>
    <w:rsid w:val="00B508EF"/>
    <w:rsid w:val="00B54F12"/>
    <w:rsid w:val="00B57B7F"/>
    <w:rsid w:val="00B6124C"/>
    <w:rsid w:val="00B6143E"/>
    <w:rsid w:val="00B62A00"/>
    <w:rsid w:val="00B63C29"/>
    <w:rsid w:val="00B66606"/>
    <w:rsid w:val="00B7082D"/>
    <w:rsid w:val="00B71D2E"/>
    <w:rsid w:val="00B736B2"/>
    <w:rsid w:val="00B73C25"/>
    <w:rsid w:val="00B75472"/>
    <w:rsid w:val="00B77331"/>
    <w:rsid w:val="00B87608"/>
    <w:rsid w:val="00B935D3"/>
    <w:rsid w:val="00B952CB"/>
    <w:rsid w:val="00BA05E0"/>
    <w:rsid w:val="00BA1C93"/>
    <w:rsid w:val="00BA269E"/>
    <w:rsid w:val="00BA622A"/>
    <w:rsid w:val="00BA631E"/>
    <w:rsid w:val="00BB3AA7"/>
    <w:rsid w:val="00BC022D"/>
    <w:rsid w:val="00BC1EB7"/>
    <w:rsid w:val="00BC3936"/>
    <w:rsid w:val="00BD61EC"/>
    <w:rsid w:val="00BE283C"/>
    <w:rsid w:val="00BF0641"/>
    <w:rsid w:val="00BF5005"/>
    <w:rsid w:val="00BF6013"/>
    <w:rsid w:val="00BF660A"/>
    <w:rsid w:val="00C000E7"/>
    <w:rsid w:val="00C0504F"/>
    <w:rsid w:val="00C148A6"/>
    <w:rsid w:val="00C179C4"/>
    <w:rsid w:val="00C225D0"/>
    <w:rsid w:val="00C26C89"/>
    <w:rsid w:val="00C34DD0"/>
    <w:rsid w:val="00C40003"/>
    <w:rsid w:val="00C46226"/>
    <w:rsid w:val="00C47EE1"/>
    <w:rsid w:val="00C535C3"/>
    <w:rsid w:val="00C72113"/>
    <w:rsid w:val="00C77870"/>
    <w:rsid w:val="00C77F3F"/>
    <w:rsid w:val="00C84119"/>
    <w:rsid w:val="00C851EE"/>
    <w:rsid w:val="00C85855"/>
    <w:rsid w:val="00C878B8"/>
    <w:rsid w:val="00C97D4E"/>
    <w:rsid w:val="00CA13A3"/>
    <w:rsid w:val="00CB0298"/>
    <w:rsid w:val="00CB1758"/>
    <w:rsid w:val="00CB7E6E"/>
    <w:rsid w:val="00CC079F"/>
    <w:rsid w:val="00CC3C8D"/>
    <w:rsid w:val="00CD2460"/>
    <w:rsid w:val="00CE6A1C"/>
    <w:rsid w:val="00CF0A6F"/>
    <w:rsid w:val="00CF7010"/>
    <w:rsid w:val="00D01908"/>
    <w:rsid w:val="00D0359F"/>
    <w:rsid w:val="00D10B2B"/>
    <w:rsid w:val="00D200EA"/>
    <w:rsid w:val="00D20BCD"/>
    <w:rsid w:val="00D25615"/>
    <w:rsid w:val="00D35D91"/>
    <w:rsid w:val="00D43CBF"/>
    <w:rsid w:val="00D53B81"/>
    <w:rsid w:val="00D57BBC"/>
    <w:rsid w:val="00D62902"/>
    <w:rsid w:val="00D6462F"/>
    <w:rsid w:val="00D64C5A"/>
    <w:rsid w:val="00D71AFE"/>
    <w:rsid w:val="00D8451D"/>
    <w:rsid w:val="00D966D5"/>
    <w:rsid w:val="00DA3B3E"/>
    <w:rsid w:val="00DB07A5"/>
    <w:rsid w:val="00DB0B07"/>
    <w:rsid w:val="00DC39DC"/>
    <w:rsid w:val="00DC4049"/>
    <w:rsid w:val="00DC7CF0"/>
    <w:rsid w:val="00DD03DC"/>
    <w:rsid w:val="00DD7FBB"/>
    <w:rsid w:val="00DE0E5C"/>
    <w:rsid w:val="00DE6FB0"/>
    <w:rsid w:val="00DE7517"/>
    <w:rsid w:val="00DF1693"/>
    <w:rsid w:val="00DF45A7"/>
    <w:rsid w:val="00DF50C7"/>
    <w:rsid w:val="00E03626"/>
    <w:rsid w:val="00E079E3"/>
    <w:rsid w:val="00E10E25"/>
    <w:rsid w:val="00E1127A"/>
    <w:rsid w:val="00E1281A"/>
    <w:rsid w:val="00E12DC9"/>
    <w:rsid w:val="00E13275"/>
    <w:rsid w:val="00E14324"/>
    <w:rsid w:val="00E17C96"/>
    <w:rsid w:val="00E3089F"/>
    <w:rsid w:val="00E30C19"/>
    <w:rsid w:val="00E31D63"/>
    <w:rsid w:val="00E43D78"/>
    <w:rsid w:val="00E465AE"/>
    <w:rsid w:val="00E530AF"/>
    <w:rsid w:val="00E54823"/>
    <w:rsid w:val="00E54FF1"/>
    <w:rsid w:val="00E57206"/>
    <w:rsid w:val="00E6122C"/>
    <w:rsid w:val="00E643AD"/>
    <w:rsid w:val="00E6500D"/>
    <w:rsid w:val="00E706CA"/>
    <w:rsid w:val="00E72BC1"/>
    <w:rsid w:val="00E742E9"/>
    <w:rsid w:val="00E76BD3"/>
    <w:rsid w:val="00E77314"/>
    <w:rsid w:val="00E81FE0"/>
    <w:rsid w:val="00E83363"/>
    <w:rsid w:val="00E8411D"/>
    <w:rsid w:val="00E86DA1"/>
    <w:rsid w:val="00E9351E"/>
    <w:rsid w:val="00E95616"/>
    <w:rsid w:val="00EA4534"/>
    <w:rsid w:val="00EB245F"/>
    <w:rsid w:val="00EB5EE8"/>
    <w:rsid w:val="00EB6DC4"/>
    <w:rsid w:val="00EC6BA3"/>
    <w:rsid w:val="00ED4241"/>
    <w:rsid w:val="00ED6B2F"/>
    <w:rsid w:val="00EE0350"/>
    <w:rsid w:val="00EE0423"/>
    <w:rsid w:val="00EE4370"/>
    <w:rsid w:val="00EF246D"/>
    <w:rsid w:val="00F0284F"/>
    <w:rsid w:val="00F07989"/>
    <w:rsid w:val="00F13903"/>
    <w:rsid w:val="00F14EC9"/>
    <w:rsid w:val="00F15A54"/>
    <w:rsid w:val="00F15A91"/>
    <w:rsid w:val="00F16D7F"/>
    <w:rsid w:val="00F217E4"/>
    <w:rsid w:val="00F47595"/>
    <w:rsid w:val="00F506CC"/>
    <w:rsid w:val="00F5589C"/>
    <w:rsid w:val="00F56191"/>
    <w:rsid w:val="00F56F96"/>
    <w:rsid w:val="00F623F0"/>
    <w:rsid w:val="00F73B3C"/>
    <w:rsid w:val="00F77904"/>
    <w:rsid w:val="00F80D4C"/>
    <w:rsid w:val="00F86DFD"/>
    <w:rsid w:val="00F90267"/>
    <w:rsid w:val="00F911C3"/>
    <w:rsid w:val="00F949CD"/>
    <w:rsid w:val="00F97594"/>
    <w:rsid w:val="00FB7898"/>
    <w:rsid w:val="00FC356F"/>
    <w:rsid w:val="00FD11D3"/>
    <w:rsid w:val="00FD53CF"/>
    <w:rsid w:val="00FF382C"/>
    <w:rsid w:val="06127C3D"/>
    <w:rsid w:val="0A417DDE"/>
    <w:rsid w:val="10A122E9"/>
    <w:rsid w:val="14843165"/>
    <w:rsid w:val="15B4486D"/>
    <w:rsid w:val="169D3553"/>
    <w:rsid w:val="1D0B1216"/>
    <w:rsid w:val="22C741C1"/>
    <w:rsid w:val="27E70AD2"/>
    <w:rsid w:val="42813BA5"/>
    <w:rsid w:val="463D72F1"/>
    <w:rsid w:val="483668B7"/>
    <w:rsid w:val="51D40315"/>
    <w:rsid w:val="569A730E"/>
    <w:rsid w:val="57013F4B"/>
    <w:rsid w:val="5B1A64ED"/>
    <w:rsid w:val="63B374DF"/>
    <w:rsid w:val="644A1BF1"/>
    <w:rsid w:val="68784853"/>
    <w:rsid w:val="6D3248DC"/>
    <w:rsid w:val="6EEA775A"/>
    <w:rsid w:val="705220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annotation text"/>
    <w:basedOn w:val="1"/>
    <w:uiPriority w:val="0"/>
    <w:pPr>
      <w:jc w:val="left"/>
    </w:pPr>
  </w:style>
  <w:style w:type="paragraph" w:styleId="4">
    <w:name w:val="Date"/>
    <w:basedOn w:val="1"/>
    <w:next w:val="1"/>
    <w:uiPriority w:val="0"/>
    <w:pPr>
      <w:ind w:left="100" w:leftChars="2500"/>
    </w:p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uiPriority w:val="0"/>
  </w:style>
  <w:style w:type="character" w:styleId="11">
    <w:name w:val="Hyperlink"/>
    <w:uiPriority w:val="0"/>
    <w:rPr>
      <w:color w:val="0563C1"/>
      <w:u w:val="single"/>
    </w:rPr>
  </w:style>
  <w:style w:type="paragraph" w:customStyle="1" w:styleId="12">
    <w:name w:val="注："/>
    <w:uiPriority w:val="0"/>
    <w:pPr>
      <w:widowControl w:val="0"/>
      <w:numPr>
        <w:ilvl w:val="0"/>
        <w:numId w:val="1"/>
      </w:numPr>
      <w:tabs>
        <w:tab w:val="clear" w:pos="1140"/>
      </w:tabs>
      <w:autoSpaceDE w:val="0"/>
      <w:autoSpaceDN w:val="0"/>
      <w:ind w:left="783" w:hanging="363"/>
      <w:jc w:val="both"/>
    </w:pPr>
    <w:rPr>
      <w:rFonts w:ascii="宋体" w:hAnsi="Times New Roman" w:eastAsia="宋体" w:cs="Times New Roman"/>
      <w:sz w:val="18"/>
      <w:lang w:val="en-US" w:eastAsia="zh-CN" w:bidi="ar-SA"/>
    </w:rPr>
  </w:style>
  <w:style w:type="paragraph" w:customStyle="1" w:styleId="13">
    <w:name w:val="前言、引言标题"/>
    <w:next w:val="1"/>
    <w:uiPriority w:val="0"/>
    <w:pPr>
      <w:numPr>
        <w:ilvl w:val="0"/>
        <w:numId w:val="2"/>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customStyle="1" w:styleId="14">
    <w:name w:val="章标题"/>
    <w:next w:val="1"/>
    <w:uiPriority w:val="0"/>
    <w:pPr>
      <w:numPr>
        <w:ilvl w:val="1"/>
        <w:numId w:val="2"/>
      </w:numPr>
      <w:spacing w:before="50" w:after="50" w:line="360" w:lineRule="auto"/>
      <w:jc w:val="both"/>
      <w:outlineLvl w:val="1"/>
    </w:pPr>
    <w:rPr>
      <w:rFonts w:ascii="黑体" w:hAnsi="Times New Roman" w:eastAsia="黑体" w:cs="Times New Roman"/>
      <w:sz w:val="21"/>
      <w:lang w:val="en-US" w:eastAsia="zh-CN" w:bidi="ar-SA"/>
    </w:rPr>
  </w:style>
  <w:style w:type="paragraph" w:customStyle="1" w:styleId="15">
    <w:name w:val="一级条标题"/>
    <w:basedOn w:val="14"/>
    <w:next w:val="1"/>
    <w:uiPriority w:val="0"/>
    <w:pPr>
      <w:numPr>
        <w:ilvl w:val="2"/>
        <w:numId w:val="2"/>
      </w:numPr>
      <w:spacing w:before="0" w:after="0" w:line="240" w:lineRule="auto"/>
      <w:outlineLvl w:val="2"/>
    </w:pPr>
  </w:style>
  <w:style w:type="paragraph" w:customStyle="1" w:styleId="16">
    <w:name w:val="二级条标题"/>
    <w:basedOn w:val="15"/>
    <w:next w:val="1"/>
    <w:uiPriority w:val="0"/>
    <w:pPr>
      <w:numPr>
        <w:ilvl w:val="3"/>
        <w:numId w:val="2"/>
      </w:numPr>
      <w:outlineLvl w:val="3"/>
    </w:pPr>
  </w:style>
  <w:style w:type="paragraph" w:customStyle="1" w:styleId="17">
    <w:name w:val="三级条标题"/>
    <w:basedOn w:val="16"/>
    <w:next w:val="1"/>
    <w:uiPriority w:val="0"/>
    <w:pPr>
      <w:numPr>
        <w:ilvl w:val="4"/>
        <w:numId w:val="2"/>
      </w:numPr>
      <w:outlineLvl w:val="4"/>
    </w:pPr>
  </w:style>
  <w:style w:type="paragraph" w:customStyle="1" w:styleId="18">
    <w:name w:val="四级条标题"/>
    <w:basedOn w:val="17"/>
    <w:next w:val="1"/>
    <w:uiPriority w:val="0"/>
    <w:pPr>
      <w:numPr>
        <w:ilvl w:val="5"/>
        <w:numId w:val="2"/>
      </w:numPr>
      <w:outlineLvl w:val="5"/>
    </w:pPr>
  </w:style>
  <w:style w:type="paragraph" w:customStyle="1" w:styleId="19">
    <w:name w:val="五级条标题"/>
    <w:basedOn w:val="18"/>
    <w:next w:val="1"/>
    <w:uiPriority w:val="0"/>
    <w:pPr>
      <w:numPr>
        <w:ilvl w:val="6"/>
        <w:numId w:val="2"/>
      </w:numPr>
      <w:outlineLvl w:val="6"/>
    </w:pPr>
  </w:style>
  <w:style w:type="character" w:customStyle="1" w:styleId="20">
    <w:name w:val="_Style 19"/>
    <w:unhideWhenUsed/>
    <w:uiPriority w:val="99"/>
    <w:rPr>
      <w:color w:val="605E5C"/>
      <w:shd w:val="clear" w:color="auto" w:fill="E1DFDD"/>
    </w:rPr>
  </w:style>
  <w:style w:type="character" w:customStyle="1" w:styleId="21">
    <w:name w:val="trans"/>
    <w:uiPriority w:val="0"/>
  </w:style>
  <w:style w:type="paragraph" w:customStyle="1" w:styleId="22">
    <w:name w:val="图表题目"/>
    <w:basedOn w:val="1"/>
    <w:next w:val="1"/>
    <w:qFormat/>
    <w:uiPriority w:val="0"/>
    <w:pPr>
      <w:widowControl/>
      <w:adjustRightInd w:val="0"/>
      <w:spacing w:before="120" w:after="240"/>
      <w:jc w:val="center"/>
      <w:textAlignment w:val="baseline"/>
    </w:pPr>
    <w:rPr>
      <w:sz w:val="22"/>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710</Company>
  <Pages>5</Pages>
  <Words>184</Words>
  <Characters>196</Characters>
  <Lines>15</Lines>
  <Paragraphs>4</Paragraphs>
  <TotalTime>18</TotalTime>
  <ScaleCrop>false</ScaleCrop>
  <LinksUpToDate>false</LinksUpToDate>
  <CharactersWithSpaces>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2006-12-05T03:53:00Z</dcterms:created>
  <dc:creator>程华富</dc:creator>
  <cp:lastModifiedBy>黄未</cp:lastModifiedBy>
  <cp:lastPrinted>2003-08-22T09:00:00Z</cp:lastPrinted>
  <dcterms:modified xsi:type="dcterms:W3CDTF">2026-07-23T08:50:20Z</dcterms:modified>
  <dc:title>质子磁强计检定规程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57725B660DAB4CD3BC0431BDDAC20A16_13</vt:lpwstr>
  </property>
  <property fmtid="{D5CDD505-2E9C-101B-9397-08002B2CF9AE}" pid="4" name="KSOTemplateDocerSaveRecord">
    <vt:lpwstr>eyJoZGlkIjoiNDRiZWQ5NzlkMjE3Nzk2ODY5Mjk4OTE1NGIyMGUwZTIiLCJ1c2VySWQiOiIxMTUwNjMxMDcwIn0=</vt:lpwstr>
  </property>
</Properties>
</file>